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28,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HOYNE BANCORP,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001-42990</w:t>
            </w:r>
          </w:p>
        </w:tc>
        <w:tc>
          <w:tcPr>
            <w:tcW w:w="4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39-2556785</w:t>
            </w:r>
          </w:p>
        </w:tc>
      </w:tr>
      <w:tr>
        <w:trPr>
          <w:trHeight w:val="234"/>
        </w:trPr>
        <w:tc>
          <w:tcPr>
            <w:tcW w:w="436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436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810 S. Oak Park Avenue</w:t>
            </w:r>
          </w:p>
        </w:tc>
        <w:tc>
          <w:tcPr>
            <w:tcW w:w="40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60304</w:t>
            </w:r>
          </w:p>
        </w:tc>
      </w:tr>
      <w:tr>
        <w:trPr>
          <w:trHeight w:val="220"/>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Oak Park, Illinois</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(708) 434-4300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HYNE</w:t>
            </w:r>
          </w:p>
        </w:tc>
        <w:tc>
          <w:tcPr>
            <w:tcW w:w="5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annual meeting of stockholders (the “Annual Meeting”) of Hoyne Bancorp, Inc. (the “Company”) was held on May 28, 2026. A total of 6,029,439 shares of the Company’s common stock were present or represented by proxy at the Annual Meeting. This represented 74.47% of the Company’s shares of common stock that were outstanding and entitled to vote at the Annual Meeting. Two proposals were presented to the Company’s stockholders at the Annual Meeting, which are described in detail in the Company’s 2026 Proxy Statement. The final results of the stockholder vote on each of the proposals presented at the meeting are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r>
        <w:rPr>
          <w:rFonts w:ascii="Times New Roman" w:cs="Times New Roman" w:eastAsia="Times New Roman" w:hAnsi="Times New Roman"/>
          <w:sz w:val="18"/>
          <w:szCs w:val="18"/>
          <w:color w:val="auto"/>
        </w:rPr>
        <w:t>. The election of three (3) director nominees to each serve for a term of three years expiring at the Company’s 2029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or until their successors are duly elected and qualified: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Name of Director Nominee</w:t>
            </w:r>
          </w:p>
        </w:tc>
        <w:tc>
          <w:tcPr>
            <w:tcW w:w="28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David M. Opas</w:t>
            </w:r>
          </w:p>
        </w:tc>
        <w:tc>
          <w:tcPr>
            <w:tcW w:w="1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3,854,863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425,958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1,748,618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Janet H. Winningham</w:t>
            </w: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3,915,209</w:t>
            </w:r>
          </w:p>
        </w:tc>
        <w:tc>
          <w:tcPr>
            <w:tcW w:w="220" w:type="dxa"/>
            <w:vAlign w:val="bottom"/>
          </w:tcPr>
          <w:p>
            <w:pPr>
              <w:spacing w:after="0"/>
              <w:rPr>
                <w:sz w:val="18"/>
                <w:szCs w:val="18"/>
                <w:color w:val="auto"/>
              </w:rPr>
            </w:pP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365,612</w:t>
            </w:r>
          </w:p>
        </w:tc>
        <w:tc>
          <w:tcPr>
            <w:tcW w:w="220" w:type="dxa"/>
            <w:vAlign w:val="bottom"/>
          </w:tcPr>
          <w:p>
            <w:pPr>
              <w:spacing w:after="0"/>
              <w:rPr>
                <w:sz w:val="18"/>
                <w:szCs w:val="18"/>
                <w:color w:val="auto"/>
              </w:rPr>
            </w:pP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1,748,618</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Anthony M. Vaccarello</w:t>
            </w:r>
          </w:p>
        </w:tc>
        <w:tc>
          <w:tcPr>
            <w:tcW w:w="25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3,852,193</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428,628</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1,748,618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Ratify Appointment of Wipfli LLP</w:t>
      </w:r>
      <w:r>
        <w:rPr>
          <w:rFonts w:ascii="Times New Roman" w:cs="Times New Roman" w:eastAsia="Times New Roman" w:hAnsi="Times New Roman"/>
          <w:sz w:val="18"/>
          <w:szCs w:val="18"/>
          <w:color w:val="auto"/>
        </w:rPr>
        <w:t>. The ratification of the appointment of Wipfli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5,574,944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180,467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274,028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Hoyne Bancorp,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June 3,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Walter F. Healy</w:t>
            </w:r>
          </w:p>
        </w:tc>
      </w:tr>
      <w:tr>
        <w:trPr>
          <w:trHeight w:val="187"/>
        </w:trPr>
        <w:tc>
          <w:tcPr>
            <w:tcW w:w="3480" w:type="dxa"/>
            <w:vAlign w:val="bottom"/>
          </w:tcPr>
          <w:p>
            <w:pPr>
              <w:spacing w:after="0"/>
              <w:rPr>
                <w:sz w:val="16"/>
                <w:szCs w:val="16"/>
                <w:color w:val="auto"/>
              </w:rPr>
            </w:pPr>
          </w:p>
        </w:tc>
        <w:tc>
          <w:tcPr>
            <w:tcW w:w="2720" w:type="dxa"/>
            <w:vAlign w:val="bottom"/>
          </w:tcPr>
          <w:p>
            <w:pPr>
              <w:ind w:left="216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50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Walter F. Healy</w:t>
            </w:r>
          </w:p>
        </w:tc>
      </w:tr>
      <w:tr>
        <w:trPr>
          <w:trHeight w:val="238"/>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2026-06-03T11:02:40Z</dcterms:created>
  <dcterms:modified xsi:type="dcterms:W3CDTF">2026-06-03T11:02:40Z</dcterms:modified>
</cp:coreProperties>
</file>