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hyne-20250930x10q.htm"/>
        <w:bookmarkStart w:id="1" w:name="kshyne2025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5dca815e_f1f5_441a_a21c_6d706dc77490"/>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(Mark One)</w:t>
      </w:r>
    </w:p>
    <w:p>
      <w:pPr>
        <w:pStyle w:val="TextBody"/>
        <w:bidi w:val="0"/>
        <w:spacing w:before="0" w:after="0"/>
        <w:ind w:left="0" w:right="0" w:hanging="0"/>
        <w:jc w:val="left"/>
        <w:rPr/>
      </w:pPr>
      <w:r>
        <w:rPr>
          <w:caps w:val="false"/>
          <w:smallCaps w:val="false"/>
        </w:rPr>
        <w:t>☒</w:t>
      </w:r>
      <w:r>
        <w:rPr>
          <w:rFonts w:ascii="Times New Roman;Times;serif" w:hAnsi="Times New Roman;Times;serif"/>
          <w:b/>
          <w:sz w:val="18"/>
        </w:rPr>
        <w:t>QUARTERLY REPORT PURSUANT TO SECTION 13 OR 15(d) OF THE SECURITIES</w:t>
      </w:r>
    </w:p>
    <w:p>
      <w:pPr>
        <w:pStyle w:val="TextBody"/>
        <w:bidi w:val="0"/>
        <w:spacing w:before="0" w:after="120"/>
        <w:ind w:left="0" w:right="0" w:hanging="0"/>
        <w:jc w:val="center"/>
        <w:rPr>
          <w:rFonts w:ascii="Times New Roman;Times;serif" w:hAnsi="Times New Roman;Times;serif"/>
          <w:b/>
          <w:sz w:val="18"/>
        </w:rPr>
      </w:pPr>
      <w:r>
        <w:rPr>
          <w:rFonts w:ascii="Times New Roman;Times;serif" w:hAnsi="Times New Roman;Times;serif"/>
          <w:b/>
          <w:sz w:val="18"/>
        </w:rPr>
        <w:t>EXCHANGE ACT OF 1934</w:t>
      </w:r>
    </w:p>
    <w:p>
      <w:pPr>
        <w:pStyle w:val="TextBody"/>
        <w:bidi w:val="0"/>
        <w:spacing w:before="0" w:after="60"/>
        <w:ind w:left="0" w:right="0" w:hanging="0"/>
        <w:jc w:val="center"/>
        <w:rPr>
          <w:rFonts w:ascii="Times New Roman;Times;serif" w:hAnsi="Times New Roman;Times;serif"/>
          <w:b/>
          <w:sz w:val="16"/>
        </w:rPr>
      </w:pPr>
      <w:r>
        <w:rPr>
          <w:rFonts w:ascii="Times New Roman;Times;serif" w:hAnsi="Times New Roman;Times;serif"/>
          <w:b/>
          <w:sz w:val="16"/>
        </w:rPr>
        <w:t>For the quarterly period ended September 30, 2025</w:t>
      </w:r>
    </w:p>
    <w:p>
      <w:pPr>
        <w:pStyle w:val="TextBody"/>
        <w:bidi w:val="0"/>
        <w:spacing w:before="0" w:after="10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bidi w:val="0"/>
        <w:spacing w:before="0" w:after="60"/>
        <w:ind w:left="0" w:right="0" w:hanging="0"/>
        <w:jc w:val="left"/>
        <w:rPr/>
      </w:pPr>
      <w:r>
        <w:rPr>
          <w:caps w:val="false"/>
          <w:smallCaps w:val="false"/>
        </w:rPr>
        <w:t>☐</w:t>
      </w:r>
      <w:r>
        <w:rPr>
          <w:rFonts w:ascii="Times New Roman;Times;serif" w:hAnsi="Times New Roman;Times;serif"/>
          <w:b/>
          <w:sz w:val="18"/>
        </w:rPr>
        <w:t>TRANSITION REPORT PURSUANT TO SECTION 13 OR 15(d) OF THE SECURITIES</w:t>
      </w:r>
    </w:p>
    <w:p>
      <w:pPr>
        <w:pStyle w:val="TextBody"/>
        <w:bidi w:val="0"/>
        <w:spacing w:before="0" w:after="100"/>
        <w:ind w:left="0" w:right="0" w:hanging="0"/>
        <w:jc w:val="center"/>
        <w:rPr>
          <w:rFonts w:ascii="Times New Roman;Times;serif" w:hAnsi="Times New Roman;Times;serif"/>
          <w:b/>
          <w:sz w:val="18"/>
        </w:rPr>
      </w:pPr>
      <w:r>
        <w:rPr>
          <w:rFonts w:ascii="Times New Roman;Times;serif" w:hAnsi="Times New Roman;Times;serif"/>
          <w:b/>
          <w:sz w:val="18"/>
        </w:rPr>
        <w:t>EXCHANGE ACT OF 1934</w:t>
      </w:r>
    </w:p>
    <w:p>
      <w:pPr>
        <w:pStyle w:val="TextBody"/>
        <w:bidi w:val="0"/>
        <w:spacing w:before="0" w:after="100"/>
        <w:ind w:left="0" w:right="0" w:hanging="0"/>
        <w:jc w:val="center"/>
        <w:rPr>
          <w:rFonts w:ascii="Times New Roman;Times;serif" w:hAnsi="Times New Roman;Times;serif"/>
          <w:sz w:val="16"/>
        </w:rPr>
      </w:pPr>
      <w:r>
        <w:rPr>
          <w:rFonts w:ascii="Times New Roman;Times;serif" w:hAnsi="Times New Roman;Times;serif"/>
          <w:b/>
          <w:sz w:val="16"/>
        </w:rPr>
        <w:t xml:space="preserve">For the transition period from </w:t>
      </w:r>
      <w:r>
        <w:rPr>
          <w:rFonts w:ascii="Times New Roman;Times;serif" w:hAnsi="Times New Roman;Times;serif"/>
          <w:sz w:val="16"/>
        </w:rPr>
        <w:t xml:space="preserve">                     </w:t>
      </w:r>
      <w:r>
        <w:rPr>
          <w:rFonts w:ascii="Times New Roman;Times;serif" w:hAnsi="Times New Roman;Times;serif"/>
          <w:b/>
          <w:sz w:val="16"/>
        </w:rPr>
        <w:t xml:space="preserve">to </w:t>
      </w:r>
      <w:r>
        <w:rPr>
          <w:rFonts w:ascii="Times New Roman;Times;serif" w:hAnsi="Times New Roman;Times;serif"/>
          <w:sz w:val="16"/>
        </w:rPr>
        <w:t>                    </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 File Number: 333-288102</w:t>
      </w:r>
    </w:p>
    <w:p>
      <w:pPr>
        <w:pStyle w:val="TextBody"/>
        <w:bidi w:val="0"/>
        <w:spacing w:before="0" w:after="0"/>
        <w:ind w:left="0" w:right="0" w:hanging="0"/>
        <w:jc w:val="center"/>
        <w:rPr/>
      </w:pPr>
      <w:r>
        <w:rPr/>
        <w:drawing>
          <wp:inline distT="0" distB="0" distL="0" distR="0">
            <wp:extent cx="2194560" cy="81407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94560" cy="814070"/>
                    </a:xfrm>
                    <a:prstGeom prst="rect">
                      <a:avLst/>
                    </a:prstGeom>
                  </pic:spPr>
                </pic:pic>
              </a:graphicData>
            </a:graphic>
          </wp:inline>
        </w:drawing>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HOYNE BANCORP, INC.</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CZOsiR5mTUC3v3KECRRdRg_1_1"/>
      <w:bookmarkStart w:id="4" w:name="Tc_zr-9JwfMOU2TGKDLxJgBLA_1_0"/>
      <w:bookmarkStart w:id="5" w:name="_9302d5a9_ca5a_4936_8b25_8937a3a2888f"/>
      <w:bookmarkStart w:id="6" w:name="Tc_CZOsiR5mTUC3v3KECRRdRg_1_1"/>
      <w:bookmarkStart w:id="7" w:name="Tc_zr-9JwfMOU2TGKDLxJgBLA_1_0"/>
      <w:bookmarkStart w:id="8" w:name="_9302d5a9_ca5a_4936_8b25_8937a3a2888f"/>
      <w:bookmarkEnd w:id="6"/>
      <w:bookmarkEnd w:id="7"/>
      <w:bookmarkEnd w:id="8"/>
    </w:p>
    <w:tbl>
      <w:tblPr>
        <w:tblW w:w="4187" w:type="dxa"/>
        <w:jc w:val="left"/>
        <w:tblInd w:w="0" w:type="dxa"/>
        <w:tblLayout w:type="fixed"/>
        <w:tblCellMar>
          <w:top w:w="0" w:type="dxa"/>
          <w:left w:w="0" w:type="dxa"/>
          <w:bottom w:w="0" w:type="dxa"/>
          <w:right w:w="0" w:type="dxa"/>
        </w:tblCellMar>
      </w:tblPr>
      <w:tblGrid>
        <w:gridCol w:w="2371"/>
        <w:gridCol w:w="1816"/>
      </w:tblGrid>
      <w:tr>
        <w:trPr/>
        <w:tc>
          <w:tcPr>
            <w:tcW w:w="23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18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39-2556785</w:t>
            </w:r>
          </w:p>
        </w:tc>
      </w:tr>
      <w:tr>
        <w:trPr/>
        <w:tc>
          <w:tcPr>
            <w:tcW w:w="23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(State or other jurisdiction of</w:t>
            </w:r>
            <w:r>
              <w:rPr>
                <w:rFonts w:ascii="Times New Roman;Times;serif" w:hAnsi="Times New Roman;Times;serif"/>
                <w:sz w:val="16"/>
              </w:rPr>
              <w:br/>
            </w:r>
            <w:r>
              <w:rPr>
                <w:rFonts w:ascii="Times New Roman;Times;serif" w:hAnsi="Times New Roman;Times;serif"/>
                <w:b/>
                <w:sz w:val="16"/>
              </w:rPr>
              <w:t>incorporation or organization)</w:t>
            </w:r>
          </w:p>
        </w:tc>
        <w:tc>
          <w:tcPr>
            <w:tcW w:w="181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(I.R.S. Employer</w:t>
            </w:r>
            <w:r>
              <w:rPr>
                <w:rFonts w:ascii="Times New Roman;Times;serif" w:hAnsi="Times New Roman;Times;serif"/>
                <w:sz w:val="16"/>
              </w:rPr>
              <w:br/>
            </w:r>
            <w:r>
              <w:rPr>
                <w:rFonts w:ascii="Times New Roman;Times;serif" w:hAnsi="Times New Roman;Times;serif"/>
                <w:b/>
                <w:sz w:val="16"/>
              </w:rPr>
              <w:t>Identification Number)</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9" w:name="Tc_1PquYcFBQUu7YSq2DWRR1A_2_1"/>
      <w:bookmarkStart w:id="10" w:name="Tc_bEUQYEoCIkKA0kYtwGKAwQ_2_0"/>
      <w:bookmarkStart w:id="11" w:name="_984d0bdf_fdb6_4291_848f_f9f4a83ef14c"/>
      <w:bookmarkStart w:id="12" w:name="Tc_1PquYcFBQUu7YSq2DWRR1A_2_1"/>
      <w:bookmarkStart w:id="13" w:name="Tc_bEUQYEoCIkKA0kYtwGKAwQ_2_0"/>
      <w:bookmarkStart w:id="14" w:name="_984d0bdf_fdb6_4291_848f_f9f4a83ef14c"/>
      <w:bookmarkEnd w:id="12"/>
      <w:bookmarkEnd w:id="13"/>
      <w:bookmarkEnd w:id="14"/>
    </w:p>
    <w:tbl>
      <w:tblPr>
        <w:tblW w:w="2882" w:type="dxa"/>
        <w:jc w:val="left"/>
        <w:tblInd w:w="0" w:type="dxa"/>
        <w:tblLayout w:type="fixed"/>
        <w:tblCellMar>
          <w:top w:w="0" w:type="dxa"/>
          <w:left w:w="0" w:type="dxa"/>
          <w:bottom w:w="0" w:type="dxa"/>
          <w:right w:w="0" w:type="dxa"/>
        </w:tblCellMar>
      </w:tblPr>
      <w:tblGrid>
        <w:gridCol w:w="2206"/>
        <w:gridCol w:w="676"/>
      </w:tblGrid>
      <w:tr>
        <w:trPr/>
        <w:tc>
          <w:tcPr>
            <w:tcW w:w="2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810 S. Oak Park Avenue.</w:t>
            </w:r>
          </w:p>
        </w:tc>
        <w:tc>
          <w:tcPr>
            <w:tcW w:w="676" w:type="dxa"/>
            <w:tcBorders/>
            <w:vAlign w:val="center"/>
          </w:tcPr>
          <w:p>
            <w:pPr>
              <w:pStyle w:val="TableContents"/>
              <w:bidi w:val="0"/>
              <w:spacing w:before="0" w:after="0"/>
              <w:ind w:left="0" w:right="0" w:hanging="0"/>
              <w:jc w:val="center"/>
              <w:rPr/>
            </w:pPr>
            <w:r>
              <w:rPr/>
              <w:t>​</w:t>
            </w:r>
          </w:p>
        </w:tc>
      </w:tr>
      <w:tr>
        <w:trPr/>
        <w:tc>
          <w:tcPr>
            <w:tcW w:w="22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Oak Park, Illinois</w:t>
            </w:r>
          </w:p>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(Address of Principal Executive Offices)</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60304</w:t>
            </w:r>
          </w:p>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(708) 434-4300</w:t>
      </w:r>
    </w:p>
    <w:p>
      <w:pPr>
        <w:pStyle w:val="TextBody"/>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(Registrant’s telephone number, including area code)</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Securities registered pursuant to Section 12(b) of the Act: None</w:t>
      </w:r>
    </w:p>
    <w:p>
      <w:pPr>
        <w:pStyle w:val="TextBody"/>
        <w:bidi w:val="0"/>
        <w:spacing w:before="0" w:after="0"/>
        <w:ind w:left="0" w:right="0" w:hanging="0"/>
        <w:jc w:val="left"/>
        <w:rPr/>
      </w:pPr>
      <w:r>
        <w:rPr/>
        <w:t>​</w:t>
      </w:r>
    </w:p>
    <w:tbl>
      <w:tblPr>
        <w:tblW w:w="496" w:type="dxa"/>
        <w:jc w:val="left"/>
        <w:tblInd w:w="0" w:type="dxa"/>
        <w:tblLayout w:type="fixed"/>
        <w:tblCellMar>
          <w:top w:w="0" w:type="dxa"/>
          <w:left w:w="0" w:type="dxa"/>
          <w:bottom w:w="0" w:type="dxa"/>
          <w:right w:w="0" w:type="dxa"/>
        </w:tblCellMar>
      </w:tblPr>
      <w:tblGrid>
        <w:gridCol w:w="124"/>
        <w:gridCol w:w="109"/>
        <w:gridCol w:w="109"/>
        <w:gridCol w:w="154"/>
      </w:tblGrid>
      <w:tr>
        <w:trPr/>
        <w:tc>
          <w:tcPr>
            <w:tcW w:w="12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Times;serif" w:hAnsi="Times New Roman;Times;serif"/>
          <w:sz w:val="20"/>
        </w:rPr>
        <w:t>☐    </w:t>
      </w:r>
      <w:r>
        <w:rPr>
          <w:rFonts w:ascii="Times New Roman;Times;serif" w:hAnsi="Times New Roman;Times;serif"/>
          <w:sz w:val="16"/>
        </w:rPr>
        <w:t>No</w:t>
      </w:r>
      <w:r>
        <w:rPr>
          <w:rFonts w:ascii="Times New Roman;Times;serif" w:hAnsi="Times New Roman;Times;serif"/>
          <w:sz w:val="20"/>
        </w:rPr>
        <w:t>  ☒</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5" w:name="Tc_WX_SxzViikmWGA1NW6U0DA_2_4"/>
      <w:bookmarkStart w:id="16" w:name="Tc_SzS4wmvlKEuZVZuYzW6inA_2_2"/>
      <w:bookmarkStart w:id="17" w:name="Tc_44_mhnMLYkO96cbzcUl5zQ_2_1"/>
      <w:bookmarkStart w:id="18" w:name="Tc_yt7Vqf6hUE-YuTnEJTSabA_0_3"/>
      <w:bookmarkStart w:id="19" w:name="Tc_pfr_ESo4pkaJ9u_Z0QiWvA_0_2"/>
      <w:bookmarkStart w:id="20" w:name="Tc_OqDa4j9jLUeAimqjkmLQxQ_0_1"/>
      <w:bookmarkStart w:id="21" w:name="Tc_28BKB5BFK0Wi2f7BhVFPPg_0_0"/>
      <w:bookmarkStart w:id="22" w:name="_a27ac08a_0a9a_4e59_bc9f_bc24cecde65b"/>
      <w:bookmarkStart w:id="23" w:name="Tc_WX_SxzViikmWGA1NW6U0DA_2_4"/>
      <w:bookmarkStart w:id="24" w:name="Tc_SzS4wmvlKEuZVZuYzW6inA_2_2"/>
      <w:bookmarkStart w:id="25" w:name="Tc_44_mhnMLYkO96cbzcUl5zQ_2_1"/>
      <w:bookmarkStart w:id="26" w:name="Tc_yt7Vqf6hUE-YuTnEJTSabA_0_3"/>
      <w:bookmarkStart w:id="27" w:name="Tc_pfr_ESo4pkaJ9u_Z0QiWvA_0_2"/>
      <w:bookmarkStart w:id="28" w:name="Tc_OqDa4j9jLUeAimqjkmLQxQ_0_1"/>
      <w:bookmarkStart w:id="29" w:name="Tc_28BKB5BFK0Wi2f7BhVFPPg_0_0"/>
      <w:bookmarkStart w:id="30" w:name="_a27ac08a_0a9a_4e59_bc9f_bc24cecde65b"/>
      <w:bookmarkEnd w:id="23"/>
      <w:bookmarkEnd w:id="24"/>
      <w:bookmarkEnd w:id="25"/>
      <w:bookmarkEnd w:id="26"/>
      <w:bookmarkEnd w:id="27"/>
      <w:bookmarkEnd w:id="28"/>
      <w:bookmarkEnd w:id="29"/>
      <w:bookmarkEnd w:id="30"/>
    </w:p>
    <w:tbl>
      <w:tblPr>
        <w:tblW w:w="6696" w:type="dxa"/>
        <w:jc w:val="left"/>
        <w:tblInd w:w="0" w:type="dxa"/>
        <w:tblLayout w:type="fixed"/>
        <w:tblCellMar>
          <w:top w:w="0" w:type="dxa"/>
          <w:left w:w="0" w:type="dxa"/>
          <w:bottom w:w="0" w:type="dxa"/>
          <w:right w:w="0" w:type="dxa"/>
        </w:tblCellMar>
      </w:tblPr>
      <w:tblGrid>
        <w:gridCol w:w="1666"/>
        <w:gridCol w:w="316"/>
        <w:gridCol w:w="2011"/>
        <w:gridCol w:w="316"/>
        <w:gridCol w:w="2026"/>
        <w:gridCol w:w="361"/>
      </w:tblGrid>
      <w:tr>
        <w:trPr/>
        <w:tc>
          <w:tcPr>
            <w:tcW w:w="16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Large accelerated filer</w:t>
            </w:r>
          </w:p>
        </w:tc>
        <w:tc>
          <w:tcPr>
            <w:tcW w:w="316"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Accelerated filer</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Non-accelerated filer</w:t>
            </w:r>
          </w:p>
        </w:tc>
        <w:tc>
          <w:tcPr>
            <w:tcW w:w="316"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Smaller reporting company</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100"/>
        <w:ind w:left="0" w:right="0" w:hanging="0"/>
        <w:jc w:val="left"/>
        <w:rPr>
          <w:rFonts w:ascii="Times New Roman;Times;serif" w:hAnsi="Times New Roman;Times;serif"/>
          <w:sz w:val="16"/>
        </w:rPr>
      </w:pPr>
      <w:r>
        <w:rPr>
          <w:rFonts w:ascii="Times New Roman;Times;serif" w:hAnsi="Times New Roman;Times;serif"/>
          <w:sz w:val="16"/>
        </w:rPr>
        <w:t>No shares of the registrant’s common stock, par value $.01 per share, were issued and outstanding as of November 10, 2025.</w:t>
      </w:r>
    </w:p>
    <w:p>
      <w:pPr>
        <w:pStyle w:val="TextBody"/>
        <w:pBdr>
          <w:top w:val="single" w:sz="8" w:space="1" w:color="000000"/>
          <w:bottom w:val="single" w:sz="24" w:space="1" w:color="000000"/>
        </w:pBdr>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val="false"/>
          <w:sz w:val="20"/>
        </w:rPr>
      </w:pPr>
      <w:bookmarkStart w:id="31" w:name="_4ab9b6b1_443c_4a50_a93f_3e7f20813471"/>
      <w:bookmarkEnd w:id="31"/>
      <w:r>
        <w:rPr>
          <w:rFonts w:ascii="Times New Roman;Times;serif" w:hAnsi="Times New Roman;Times;serif"/>
          <w:b w:val="false"/>
          <w:sz w:val="20"/>
        </w:rPr>
        <w:t>Hoyne Bancorp, Inc.</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Form 10-Q</w:t>
      </w:r>
    </w:p>
    <w:p>
      <w:pPr>
        <w:pStyle w:val="TextBody"/>
        <w:bidi w:val="0"/>
        <w:spacing w:before="0" w:after="0"/>
        <w:ind w:left="0" w:right="0" w:hanging="0"/>
        <w:jc w:val="center"/>
        <w:rPr>
          <w:rFonts w:ascii="Times New Roman;Times;serif" w:hAnsi="Times New Roman;Times;serif"/>
          <w:b/>
          <w:sz w:val="20"/>
        </w:rPr>
      </w:pPr>
      <w:bookmarkStart w:id="32" w:name="TOC"/>
      <w:bookmarkEnd w:id="32"/>
      <w:r>
        <w:rPr>
          <w:rFonts w:ascii="Times New Roman;Times;serif" w:hAnsi="Times New Roman;Times;serif"/>
          <w:b/>
          <w:sz w:val="20"/>
        </w:rPr>
        <w:t>TABLE OF CONTENTS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07"/>
        <w:gridCol w:w="326"/>
        <w:gridCol w:w="8274"/>
        <w:gridCol w:w="326"/>
        <w:gridCol w:w="572"/>
      </w:tblGrid>
      <w:tr>
        <w:trPr/>
        <w:tc>
          <w:tcPr>
            <w:tcW w:w="7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448945" cy="175260"/>
                      <wp:effectExtent l="0" t="0" r="0" b="0"/>
                      <wp:wrapNone/>
                      <wp:docPr id="2" name="Frame1"/>
                      <a:graphic xmlns:a="http://schemas.openxmlformats.org/drawingml/2006/main">
                        <a:graphicData uri="http://schemas.microsoft.com/office/word/2010/wordprocessingShape">
                          <wps:wsp>
                            <wps:cNvSpPr txBox="1"/>
                            <wps:spPr>
                              <a:xfrm>
                                <a:off x="0" y="0"/>
                                <a:ext cx="448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8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5253990" cy="175260"/>
                      <wp:effectExtent l="0" t="0" r="0" b="0"/>
                      <wp:wrapNone/>
                      <wp:docPr id="3" name="Frame2"/>
                      <a:graphic xmlns:a="http://schemas.openxmlformats.org/drawingml/2006/main">
                        <a:graphicData uri="http://schemas.microsoft.com/office/word/2010/wordprocessingShape">
                          <wps:wsp>
                            <wps:cNvSpPr txBox="1"/>
                            <wps:spPr>
                              <a:xfrm>
                                <a:off x="0" y="0"/>
                                <a:ext cx="525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363220" cy="175260"/>
                      <wp:effectExtent l="0" t="0" r="0" b="0"/>
                      <wp:wrapNone/>
                      <wp:docPr id="4" name="Frame3"/>
                      <a:graphic xmlns:a="http://schemas.openxmlformats.org/drawingml/2006/main">
                        <a:graphicData uri="http://schemas.microsoft.com/office/word/2010/wordprocessingShape">
                          <wps:wsp>
                            <wps:cNvSpPr txBox="1"/>
                            <wps:spPr>
                              <a:xfrm>
                                <a:off x="0" y="0"/>
                                <a:ext cx="363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2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57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7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2"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707" w:type="dxa"/>
            <w:tcBorders/>
            <w:vAlign w:val="center"/>
          </w:tcPr>
          <w:p>
            <w:pPr>
              <w:pStyle w:val="TableContents"/>
              <w:bidi w:val="0"/>
              <w:spacing w:before="0" w:after="0"/>
              <w:ind w:left="0" w:right="0" w:hanging="0"/>
              <w:jc w:val="left"/>
              <w:rPr/>
            </w:pPr>
            <w:hyperlink w:anchor="PARTIFINANCIALINFORMATION_47146">
              <w:r>
                <w:rPr>
                  <w:rStyle w:val="InternetLink"/>
                  <w:rFonts w:ascii="Times New Roman;Times;serif" w:hAnsi="Times New Roman;Times;serif"/>
                  <w:b/>
                  <w:i w:val="false"/>
                  <w:caps w:val="false"/>
                  <w:smallCaps w:val="false"/>
                  <w:sz w:val="20"/>
                </w:rPr>
                <w:t>Part I</w:t>
              </w:r>
            </w:hyperlink>
          </w:p>
        </w:tc>
        <w:tc>
          <w:tcPr>
            <w:tcW w:w="326" w:type="dxa"/>
            <w:tcBorders/>
            <w:vAlign w:val="center"/>
          </w:tcPr>
          <w:p>
            <w:pPr>
              <w:pStyle w:val="TableContents"/>
              <w:bidi w:val="0"/>
              <w:spacing w:before="0" w:after="0"/>
              <w:ind w:left="0" w:right="0" w:hanging="0"/>
              <w:jc w:val="left"/>
              <w:rPr/>
            </w:pPr>
            <w:r>
              <w:rPr/>
              <w:t>​</w:t>
            </w:r>
          </w:p>
        </w:tc>
        <w:tc>
          <w:tcPr>
            <w:tcW w:w="8274" w:type="dxa"/>
            <w:tcBorders/>
            <w:vAlign w:val="center"/>
          </w:tcPr>
          <w:p>
            <w:pPr>
              <w:pStyle w:val="TableContents"/>
              <w:bidi w:val="0"/>
              <w:spacing w:before="0" w:after="0"/>
              <w:ind w:left="0" w:right="0" w:hanging="0"/>
              <w:jc w:val="left"/>
              <w:rPr/>
            </w:pPr>
            <w:hyperlink w:anchor="PARTIFINANCIALINFORMATION_47146">
              <w:r>
                <w:rPr>
                  <w:rStyle w:val="InternetLink"/>
                  <w:rFonts w:ascii="Times New Roman;Times;serif" w:hAnsi="Times New Roman;Times;serif"/>
                  <w:b/>
                  <w:i w:val="false"/>
                  <w:caps w:val="false"/>
                  <w:smallCaps w:val="false"/>
                  <w:sz w:val="20"/>
                </w:rPr>
                <w:t>Financial Information</w:t>
              </w:r>
            </w:hyperlink>
          </w:p>
        </w:tc>
        <w:tc>
          <w:tcPr>
            <w:tcW w:w="32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707" w:type="dxa"/>
            <w:tcBorders/>
            <w:vAlign w:val="center"/>
          </w:tcPr>
          <w:p>
            <w:pPr>
              <w:pStyle w:val="TableContents"/>
              <w:bidi w:val="0"/>
              <w:spacing w:before="0" w:after="0"/>
              <w:ind w:left="0" w:right="0" w:hanging="0"/>
              <w:jc w:val="left"/>
              <w:rPr/>
            </w:pPr>
            <w:hyperlink w:anchor="Item1ConsolidatedFinancialStatements_471">
              <w:r>
                <w:rPr>
                  <w:rStyle w:val="InternetLink"/>
                  <w:rFonts w:ascii="Times New Roman;Times;serif" w:hAnsi="Times New Roman;Times;serif"/>
                  <w:b w:val="false"/>
                  <w:i w:val="false"/>
                  <w:caps w:val="false"/>
                  <w:smallCaps w:val="false"/>
                  <w:sz w:val="20"/>
                </w:rPr>
                <w:t>Item 1.</w:t>
              </w:r>
            </w:hyperlink>
          </w:p>
        </w:tc>
        <w:tc>
          <w:tcPr>
            <w:tcW w:w="326" w:type="dxa"/>
            <w:tcBorders/>
            <w:vAlign w:val="center"/>
          </w:tcPr>
          <w:p>
            <w:pPr>
              <w:pStyle w:val="TableContents"/>
              <w:bidi w:val="0"/>
              <w:spacing w:before="0" w:after="0"/>
              <w:ind w:left="0" w:right="0" w:hanging="0"/>
              <w:jc w:val="left"/>
              <w:rPr/>
            </w:pPr>
            <w:r>
              <w:rPr/>
              <w:t>​</w:t>
            </w:r>
          </w:p>
        </w:tc>
        <w:tc>
          <w:tcPr>
            <w:tcW w:w="8274" w:type="dxa"/>
            <w:tcBorders/>
            <w:vAlign w:val="center"/>
          </w:tcPr>
          <w:p>
            <w:pPr>
              <w:pStyle w:val="TableContents"/>
              <w:bidi w:val="0"/>
              <w:spacing w:before="0" w:after="0"/>
              <w:ind w:left="0" w:right="0" w:hanging="0"/>
              <w:jc w:val="left"/>
              <w:rPr/>
            </w:pPr>
            <w:hyperlink w:anchor="Item1ConsolidatedFinancialStatements_471">
              <w:r>
                <w:rPr>
                  <w:rStyle w:val="InternetLink"/>
                  <w:rFonts w:ascii="Times New Roman;Times;serif" w:hAnsi="Times New Roman;Times;serif"/>
                  <w:b w:val="false"/>
                  <w:i w:val="false"/>
                  <w:caps w:val="false"/>
                  <w:smallCaps w:val="false"/>
                  <w:sz w:val="20"/>
                </w:rPr>
                <w:t>Financial Statements</w:t>
              </w:r>
            </w:hyperlink>
          </w:p>
        </w:tc>
        <w:tc>
          <w:tcPr>
            <w:tcW w:w="32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7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74" w:type="dxa"/>
            <w:tcBorders/>
            <w:vAlign w:val="center"/>
          </w:tcPr>
          <w:p>
            <w:pPr>
              <w:pStyle w:val="TableContents"/>
              <w:bidi w:val="0"/>
              <w:spacing w:before="0" w:after="0"/>
              <w:ind w:left="0" w:right="0" w:hanging="0"/>
              <w:jc w:val="left"/>
              <w:rPr/>
            </w:pPr>
            <w:hyperlink w:anchor="CONSOLIDATEDSTATEMENTOFFINANCIALCONDITIO">
              <w:r>
                <w:rPr>
                  <w:rStyle w:val="InternetLink"/>
                  <w:rFonts w:ascii="Times New Roman;Times;serif" w:hAnsi="Times New Roman;Times;serif"/>
                  <w:b w:val="false"/>
                  <w:i w:val="false"/>
                  <w:caps w:val="false"/>
                  <w:smallCaps w:val="false"/>
                  <w:sz w:val="20"/>
                </w:rPr>
                <w:t xml:space="preserve">Consolidated Statement of Financial Condition as of September 30, 2025 and December 31, 2024 </w:t>
              </w:r>
            </w:hyperlink>
          </w:p>
        </w:tc>
        <w:tc>
          <w:tcPr>
            <w:tcW w:w="32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7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74" w:type="dxa"/>
            <w:tcBorders/>
            <w:vAlign w:val="center"/>
          </w:tcPr>
          <w:p>
            <w:pPr>
              <w:pStyle w:val="TableContents"/>
              <w:bidi w:val="0"/>
              <w:spacing w:before="0" w:after="0"/>
              <w:ind w:left="0" w:right="0" w:hanging="0"/>
              <w:jc w:val="left"/>
              <w:rPr/>
            </w:pPr>
            <w:hyperlink w:anchor="CONSOLIDATEDSTATEMENTOFOPERATIONS_558742">
              <w:r>
                <w:rPr>
                  <w:rStyle w:val="InternetLink"/>
                  <w:rFonts w:ascii="Times New Roman;Times;serif" w:hAnsi="Times New Roman;Times;serif"/>
                  <w:b w:val="false"/>
                  <w:i w:val="false"/>
                  <w:caps w:val="false"/>
                  <w:smallCaps w:val="false"/>
                  <w:sz w:val="20"/>
                </w:rPr>
                <w:t xml:space="preserve">Consolidated Statement of Operations and Comprehensive Income (Loss) for the Three and Nine Months Ended September 30, 2025 and 2024 </w:t>
              </w:r>
            </w:hyperlink>
          </w:p>
        </w:tc>
        <w:tc>
          <w:tcPr>
            <w:tcW w:w="32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7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7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74" w:type="dxa"/>
            <w:tcBorders/>
            <w:vAlign w:val="center"/>
          </w:tcPr>
          <w:p>
            <w:pPr>
              <w:pStyle w:val="TableContents"/>
              <w:bidi w:val="0"/>
              <w:spacing w:before="0" w:after="0"/>
              <w:ind w:left="0" w:right="0" w:hanging="0"/>
              <w:jc w:val="left"/>
              <w:rPr/>
            </w:pPr>
            <w:hyperlink w:anchor="STATEMENTOFEQUITY_882285">
              <w:r>
                <w:rPr>
                  <w:rStyle w:val="InternetLink"/>
                  <w:rFonts w:ascii="Times New Roman;Times;serif" w:hAnsi="Times New Roman;Times;serif"/>
                  <w:b w:val="false"/>
                  <w:i w:val="false"/>
                  <w:caps w:val="false"/>
                  <w:smallCaps w:val="false"/>
                  <w:sz w:val="20"/>
                </w:rPr>
                <w:t xml:space="preserve">Consolidated Statement of Changes in Equity for the Three and Nine Months Ended September 30, 2025 and 2024 </w:t>
              </w:r>
            </w:hyperlink>
          </w:p>
        </w:tc>
        <w:tc>
          <w:tcPr>
            <w:tcW w:w="32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7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74" w:type="dxa"/>
            <w:tcBorders/>
            <w:vAlign w:val="center"/>
          </w:tcPr>
          <w:p>
            <w:pPr>
              <w:pStyle w:val="TableContents"/>
              <w:bidi w:val="0"/>
              <w:spacing w:before="0" w:after="0"/>
              <w:ind w:left="0" w:right="0" w:hanging="0"/>
              <w:jc w:val="left"/>
              <w:rPr/>
            </w:pPr>
            <w:hyperlink w:anchor="CONSOLIDATEDSTATEMENTOFCASHFLOWS_89391">
              <w:r>
                <w:rPr>
                  <w:rStyle w:val="InternetLink"/>
                  <w:rFonts w:ascii="Times New Roman;Times;serif" w:hAnsi="Times New Roman;Times;serif"/>
                  <w:b w:val="false"/>
                  <w:i w:val="false"/>
                  <w:caps w:val="false"/>
                  <w:smallCaps w:val="false"/>
                  <w:sz w:val="20"/>
                </w:rPr>
                <w:t xml:space="preserve">Consolidated Statement of Cash Flows for the Nine Months Ended September 30, 2025 and 2024 </w:t>
              </w:r>
            </w:hyperlink>
          </w:p>
        </w:tc>
        <w:tc>
          <w:tcPr>
            <w:tcW w:w="32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7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7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74" w:type="dxa"/>
            <w:tcBorders/>
            <w:vAlign w:val="center"/>
          </w:tcPr>
          <w:p>
            <w:pPr>
              <w:pStyle w:val="TableContents"/>
              <w:bidi w:val="0"/>
              <w:spacing w:before="0" w:after="0"/>
              <w:ind w:left="0" w:right="0" w:hanging="0"/>
              <w:jc w:val="left"/>
              <w:rPr/>
            </w:pPr>
            <w:hyperlink w:anchor="NOTESTOTHECONSOLIDATEDFINANCIAL_203669">
              <w:r>
                <w:rPr>
                  <w:rStyle w:val="InternetLink"/>
                  <w:rFonts w:ascii="Times New Roman;Times;serif" w:hAnsi="Times New Roman;Times;serif"/>
                  <w:b w:val="false"/>
                  <w:i w:val="false"/>
                  <w:caps w:val="false"/>
                  <w:smallCaps w:val="false"/>
                  <w:sz w:val="20"/>
                </w:rPr>
                <w:t>Notes to the Consolidated Financial Statements</w:t>
              </w:r>
            </w:hyperlink>
          </w:p>
        </w:tc>
        <w:tc>
          <w:tcPr>
            <w:tcW w:w="32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7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707"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326" w:type="dxa"/>
            <w:tcBorders/>
            <w:vAlign w:val="center"/>
          </w:tcPr>
          <w:p>
            <w:pPr>
              <w:pStyle w:val="TableContents"/>
              <w:bidi w:val="0"/>
              <w:spacing w:before="0" w:after="0"/>
              <w:ind w:left="0" w:right="0" w:hanging="0"/>
              <w:jc w:val="left"/>
              <w:rPr/>
            </w:pPr>
            <w:r>
              <w:rPr/>
              <w:t>​</w:t>
            </w:r>
          </w:p>
        </w:tc>
        <w:tc>
          <w:tcPr>
            <w:tcW w:w="8274"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2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7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707"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326" w:type="dxa"/>
            <w:tcBorders/>
            <w:vAlign w:val="center"/>
          </w:tcPr>
          <w:p>
            <w:pPr>
              <w:pStyle w:val="TableContents"/>
              <w:bidi w:val="0"/>
              <w:spacing w:before="0" w:after="0"/>
              <w:ind w:left="0" w:right="0" w:hanging="0"/>
              <w:jc w:val="left"/>
              <w:rPr/>
            </w:pPr>
            <w:r>
              <w:rPr/>
              <w:t>​</w:t>
            </w:r>
          </w:p>
        </w:tc>
        <w:tc>
          <w:tcPr>
            <w:tcW w:w="8274"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2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7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707" w:type="dxa"/>
            <w:tcBorders/>
            <w:vAlign w:val="center"/>
          </w:tcPr>
          <w:p>
            <w:pPr>
              <w:pStyle w:val="TableContents"/>
              <w:bidi w:val="0"/>
              <w:spacing w:before="0" w:after="0"/>
              <w:ind w:left="0" w:right="0" w:hanging="0"/>
              <w:jc w:val="left"/>
              <w:rPr/>
            </w:pPr>
            <w:hyperlink w:anchor="Item4ControlsandProcedures_444664">
              <w:r>
                <w:rPr>
                  <w:rStyle w:val="InternetLink"/>
                  <w:rFonts w:ascii="Times New Roman;Times;serif" w:hAnsi="Times New Roman;Times;serif"/>
                  <w:b w:val="false"/>
                  <w:i w:val="false"/>
                  <w:caps w:val="false"/>
                  <w:smallCaps w:val="false"/>
                  <w:sz w:val="20"/>
                </w:rPr>
                <w:t>Item 4.</w:t>
              </w:r>
            </w:hyperlink>
          </w:p>
        </w:tc>
        <w:tc>
          <w:tcPr>
            <w:tcW w:w="326" w:type="dxa"/>
            <w:tcBorders/>
            <w:vAlign w:val="center"/>
          </w:tcPr>
          <w:p>
            <w:pPr>
              <w:pStyle w:val="TableContents"/>
              <w:bidi w:val="0"/>
              <w:spacing w:before="0" w:after="0"/>
              <w:ind w:left="0" w:right="0" w:hanging="0"/>
              <w:jc w:val="left"/>
              <w:rPr/>
            </w:pPr>
            <w:r>
              <w:rPr/>
              <w:t>​</w:t>
            </w:r>
          </w:p>
        </w:tc>
        <w:tc>
          <w:tcPr>
            <w:tcW w:w="8274" w:type="dxa"/>
            <w:tcBorders/>
            <w:vAlign w:val="center"/>
          </w:tcPr>
          <w:p>
            <w:pPr>
              <w:pStyle w:val="TableContents"/>
              <w:bidi w:val="0"/>
              <w:spacing w:before="0" w:after="0"/>
              <w:ind w:left="0" w:right="0" w:hanging="0"/>
              <w:jc w:val="left"/>
              <w:rPr/>
            </w:pPr>
            <w:hyperlink w:anchor="Item4ControlsandProcedures_444664">
              <w:r>
                <w:rPr>
                  <w:rStyle w:val="InternetLink"/>
                  <w:rFonts w:ascii="Times New Roman;Times;serif" w:hAnsi="Times New Roman;Times;serif"/>
                  <w:b w:val="false"/>
                  <w:i w:val="false"/>
                  <w:caps w:val="false"/>
                  <w:smallCaps w:val="false"/>
                  <w:sz w:val="20"/>
                </w:rPr>
                <w:t>Controls and Procedures</w:t>
              </w:r>
            </w:hyperlink>
          </w:p>
        </w:tc>
        <w:tc>
          <w:tcPr>
            <w:tcW w:w="32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7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707" w:type="dxa"/>
            <w:tcBorders/>
            <w:vAlign w:val="center"/>
          </w:tcPr>
          <w:p>
            <w:pPr>
              <w:pStyle w:val="TableContents"/>
              <w:bidi w:val="0"/>
              <w:spacing w:before="0" w:after="0"/>
              <w:ind w:left="0" w:right="0" w:hanging="0"/>
              <w:jc w:val="left"/>
              <w:rPr/>
            </w:pPr>
            <w:hyperlink w:anchor="PARTIIOTHERINFORMATION_528217">
              <w:r>
                <w:rPr>
                  <w:rStyle w:val="InternetLink"/>
                  <w:rFonts w:ascii="Times New Roman;Times;serif" w:hAnsi="Times New Roman;Times;serif"/>
                  <w:b/>
                  <w:i w:val="false"/>
                  <w:caps w:val="false"/>
                  <w:smallCaps w:val="false"/>
                  <w:sz w:val="20"/>
                </w:rPr>
                <w:t>Part II</w:t>
              </w:r>
            </w:hyperlink>
          </w:p>
        </w:tc>
        <w:tc>
          <w:tcPr>
            <w:tcW w:w="326" w:type="dxa"/>
            <w:tcBorders/>
            <w:vAlign w:val="center"/>
          </w:tcPr>
          <w:p>
            <w:pPr>
              <w:pStyle w:val="TableContents"/>
              <w:bidi w:val="0"/>
              <w:spacing w:before="0" w:after="0"/>
              <w:ind w:left="0" w:right="0" w:hanging="0"/>
              <w:jc w:val="left"/>
              <w:rPr/>
            </w:pPr>
            <w:r>
              <w:rPr/>
              <w:t>​</w:t>
            </w:r>
          </w:p>
        </w:tc>
        <w:tc>
          <w:tcPr>
            <w:tcW w:w="8274" w:type="dxa"/>
            <w:tcBorders/>
            <w:vAlign w:val="center"/>
          </w:tcPr>
          <w:p>
            <w:pPr>
              <w:pStyle w:val="TableContents"/>
              <w:bidi w:val="0"/>
              <w:spacing w:before="0" w:after="0"/>
              <w:ind w:left="0" w:right="0" w:hanging="0"/>
              <w:jc w:val="left"/>
              <w:rPr/>
            </w:pPr>
            <w:hyperlink w:anchor="PARTIIOTHERINFORMATION_528217">
              <w:r>
                <w:rPr>
                  <w:rStyle w:val="InternetLink"/>
                  <w:rFonts w:ascii="Times New Roman;Times;serif" w:hAnsi="Times New Roman;Times;serif"/>
                  <w:b/>
                  <w:i w:val="false"/>
                  <w:caps w:val="false"/>
                  <w:smallCaps w:val="false"/>
                  <w:sz w:val="20"/>
                </w:rPr>
                <w:t>Other Information</w:t>
              </w:r>
            </w:hyperlink>
          </w:p>
        </w:tc>
        <w:tc>
          <w:tcPr>
            <w:tcW w:w="32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7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707" w:type="dxa"/>
            <w:tcBorders/>
            <w:vAlign w:val="center"/>
          </w:tcPr>
          <w:p>
            <w:pPr>
              <w:pStyle w:val="TableContents"/>
              <w:bidi w:val="0"/>
              <w:spacing w:before="0" w:after="0"/>
              <w:ind w:left="0" w:right="0" w:hanging="0"/>
              <w:jc w:val="left"/>
              <w:rPr/>
            </w:pPr>
            <w:hyperlink w:anchor="Item1LegalProceedings_749207">
              <w:r>
                <w:rPr>
                  <w:rStyle w:val="InternetLink"/>
                  <w:rFonts w:ascii="Times New Roman;Times;serif" w:hAnsi="Times New Roman;Times;serif"/>
                  <w:b w:val="false"/>
                  <w:i w:val="false"/>
                  <w:caps w:val="false"/>
                  <w:smallCaps w:val="false"/>
                  <w:sz w:val="20"/>
                </w:rPr>
                <w:t>Item 1.</w:t>
              </w:r>
            </w:hyperlink>
          </w:p>
        </w:tc>
        <w:tc>
          <w:tcPr>
            <w:tcW w:w="326" w:type="dxa"/>
            <w:tcBorders/>
            <w:vAlign w:val="center"/>
          </w:tcPr>
          <w:p>
            <w:pPr>
              <w:pStyle w:val="TableContents"/>
              <w:bidi w:val="0"/>
              <w:spacing w:before="0" w:after="0"/>
              <w:ind w:left="0" w:right="0" w:hanging="0"/>
              <w:jc w:val="left"/>
              <w:rPr/>
            </w:pPr>
            <w:r>
              <w:rPr/>
              <w:t>​</w:t>
            </w:r>
          </w:p>
        </w:tc>
        <w:tc>
          <w:tcPr>
            <w:tcW w:w="8274" w:type="dxa"/>
            <w:tcBorders/>
            <w:vAlign w:val="center"/>
          </w:tcPr>
          <w:p>
            <w:pPr>
              <w:pStyle w:val="TableContents"/>
              <w:bidi w:val="0"/>
              <w:spacing w:before="0" w:after="0"/>
              <w:ind w:left="0" w:right="0" w:hanging="0"/>
              <w:jc w:val="left"/>
              <w:rPr/>
            </w:pPr>
            <w:hyperlink w:anchor="Item1LegalProceedings_749207">
              <w:r>
                <w:rPr>
                  <w:rStyle w:val="InternetLink"/>
                  <w:rFonts w:ascii="Times New Roman;Times;serif" w:hAnsi="Times New Roman;Times;serif"/>
                  <w:b w:val="false"/>
                  <w:i w:val="false"/>
                  <w:caps w:val="false"/>
                  <w:smallCaps w:val="false"/>
                  <w:sz w:val="20"/>
                </w:rPr>
                <w:t>Legal Proceedings</w:t>
              </w:r>
            </w:hyperlink>
          </w:p>
        </w:tc>
        <w:tc>
          <w:tcPr>
            <w:tcW w:w="32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7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707" w:type="dxa"/>
            <w:tcBorders/>
            <w:vAlign w:val="center"/>
          </w:tcPr>
          <w:p>
            <w:pPr>
              <w:pStyle w:val="TableContents"/>
              <w:bidi w:val="0"/>
              <w:spacing w:before="0" w:after="0"/>
              <w:ind w:left="0" w:right="0" w:hanging="0"/>
              <w:jc w:val="left"/>
              <w:rPr/>
            </w:pPr>
            <w:hyperlink w:anchor="Item1ARiskFactors_752252">
              <w:r>
                <w:rPr>
                  <w:rStyle w:val="InternetLink"/>
                  <w:rFonts w:ascii="Times New Roman;Times;serif" w:hAnsi="Times New Roman;Times;serif"/>
                  <w:b w:val="false"/>
                  <w:i w:val="false"/>
                  <w:caps w:val="false"/>
                  <w:smallCaps w:val="false"/>
                  <w:sz w:val="20"/>
                </w:rPr>
                <w:t>Item 1A.</w:t>
              </w:r>
            </w:hyperlink>
          </w:p>
        </w:tc>
        <w:tc>
          <w:tcPr>
            <w:tcW w:w="326" w:type="dxa"/>
            <w:tcBorders/>
            <w:vAlign w:val="center"/>
          </w:tcPr>
          <w:p>
            <w:pPr>
              <w:pStyle w:val="TableContents"/>
              <w:bidi w:val="0"/>
              <w:spacing w:before="0" w:after="0"/>
              <w:ind w:left="0" w:right="0" w:hanging="0"/>
              <w:jc w:val="left"/>
              <w:rPr/>
            </w:pPr>
            <w:r>
              <w:rPr/>
              <w:t>​</w:t>
            </w:r>
          </w:p>
        </w:tc>
        <w:tc>
          <w:tcPr>
            <w:tcW w:w="8274" w:type="dxa"/>
            <w:tcBorders/>
            <w:vAlign w:val="center"/>
          </w:tcPr>
          <w:p>
            <w:pPr>
              <w:pStyle w:val="TableContents"/>
              <w:bidi w:val="0"/>
              <w:spacing w:before="0" w:after="0"/>
              <w:ind w:left="0" w:right="0" w:hanging="0"/>
              <w:jc w:val="left"/>
              <w:rPr/>
            </w:pPr>
            <w:hyperlink w:anchor="Item1ARiskFactors_752252">
              <w:r>
                <w:rPr>
                  <w:rStyle w:val="InternetLink"/>
                  <w:rFonts w:ascii="Times New Roman;Times;serif" w:hAnsi="Times New Roman;Times;serif"/>
                  <w:b w:val="false"/>
                  <w:i w:val="false"/>
                  <w:caps w:val="false"/>
                  <w:smallCaps w:val="false"/>
                  <w:sz w:val="20"/>
                </w:rPr>
                <w:t>Risk Factors</w:t>
              </w:r>
            </w:hyperlink>
          </w:p>
        </w:tc>
        <w:tc>
          <w:tcPr>
            <w:tcW w:w="32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7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707"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326" w:type="dxa"/>
            <w:tcBorders/>
            <w:vAlign w:val="center"/>
          </w:tcPr>
          <w:p>
            <w:pPr>
              <w:pStyle w:val="TableContents"/>
              <w:bidi w:val="0"/>
              <w:spacing w:before="0" w:after="0"/>
              <w:ind w:left="0" w:right="0" w:hanging="0"/>
              <w:jc w:val="left"/>
              <w:rPr/>
            </w:pPr>
            <w:r>
              <w:rPr/>
              <w:t>​</w:t>
            </w:r>
          </w:p>
        </w:tc>
        <w:tc>
          <w:tcPr>
            <w:tcW w:w="8274"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2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7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707" w:type="dxa"/>
            <w:tcBorders/>
            <w:vAlign w:val="center"/>
          </w:tcPr>
          <w:p>
            <w:pPr>
              <w:pStyle w:val="TableContents"/>
              <w:bidi w:val="0"/>
              <w:spacing w:before="0" w:after="0"/>
              <w:ind w:left="0" w:right="0" w:hanging="0"/>
              <w:jc w:val="left"/>
              <w:rPr/>
            </w:pPr>
            <w:hyperlink w:anchor="Item3DefaultsUponSeniorSecurities_553177">
              <w:r>
                <w:rPr>
                  <w:rStyle w:val="InternetLink"/>
                  <w:rFonts w:ascii="Times New Roman;Times;serif" w:hAnsi="Times New Roman;Times;serif"/>
                  <w:b w:val="false"/>
                  <w:i w:val="false"/>
                  <w:caps w:val="false"/>
                  <w:smallCaps w:val="false"/>
                  <w:sz w:val="20"/>
                </w:rPr>
                <w:t>Item 3.</w:t>
              </w:r>
            </w:hyperlink>
          </w:p>
        </w:tc>
        <w:tc>
          <w:tcPr>
            <w:tcW w:w="326" w:type="dxa"/>
            <w:tcBorders/>
            <w:vAlign w:val="center"/>
          </w:tcPr>
          <w:p>
            <w:pPr>
              <w:pStyle w:val="TableContents"/>
              <w:bidi w:val="0"/>
              <w:spacing w:before="0" w:after="0"/>
              <w:ind w:left="0" w:right="0" w:hanging="0"/>
              <w:jc w:val="left"/>
              <w:rPr/>
            </w:pPr>
            <w:r>
              <w:rPr/>
              <w:t>​</w:t>
            </w:r>
          </w:p>
        </w:tc>
        <w:tc>
          <w:tcPr>
            <w:tcW w:w="8274" w:type="dxa"/>
            <w:tcBorders/>
            <w:vAlign w:val="center"/>
          </w:tcPr>
          <w:p>
            <w:pPr>
              <w:pStyle w:val="TableContents"/>
              <w:bidi w:val="0"/>
              <w:spacing w:before="0" w:after="0"/>
              <w:ind w:left="0" w:right="0" w:hanging="0"/>
              <w:jc w:val="left"/>
              <w:rPr/>
            </w:pPr>
            <w:hyperlink w:anchor="Item3DefaultsUponSeniorSecurities_553177">
              <w:r>
                <w:rPr>
                  <w:rStyle w:val="InternetLink"/>
                  <w:rFonts w:ascii="Times New Roman;Times;serif" w:hAnsi="Times New Roman;Times;serif"/>
                  <w:b w:val="false"/>
                  <w:i w:val="false"/>
                  <w:caps w:val="false"/>
                  <w:smallCaps w:val="false"/>
                  <w:sz w:val="20"/>
                </w:rPr>
                <w:t>Defaults Upon Senior Securities</w:t>
              </w:r>
            </w:hyperlink>
          </w:p>
        </w:tc>
        <w:tc>
          <w:tcPr>
            <w:tcW w:w="32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7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707" w:type="dxa"/>
            <w:tcBorders/>
            <w:vAlign w:val="center"/>
          </w:tcPr>
          <w:p>
            <w:pPr>
              <w:pStyle w:val="TableContents"/>
              <w:bidi w:val="0"/>
              <w:spacing w:before="0" w:after="0"/>
              <w:ind w:left="0" w:right="0" w:hanging="0"/>
              <w:jc w:val="left"/>
              <w:rPr/>
            </w:pPr>
            <w:hyperlink w:anchor="Item4MineSafetyDisclosures_930077">
              <w:r>
                <w:rPr>
                  <w:rStyle w:val="InternetLink"/>
                  <w:rFonts w:ascii="Times New Roman;Times;serif" w:hAnsi="Times New Roman;Times;serif"/>
                  <w:b w:val="false"/>
                  <w:i w:val="false"/>
                  <w:caps w:val="false"/>
                  <w:smallCaps w:val="false"/>
                  <w:sz w:val="20"/>
                </w:rPr>
                <w:t>Item 4.</w:t>
              </w:r>
            </w:hyperlink>
          </w:p>
        </w:tc>
        <w:tc>
          <w:tcPr>
            <w:tcW w:w="326" w:type="dxa"/>
            <w:tcBorders/>
            <w:vAlign w:val="center"/>
          </w:tcPr>
          <w:p>
            <w:pPr>
              <w:pStyle w:val="TableContents"/>
              <w:bidi w:val="0"/>
              <w:spacing w:before="0" w:after="0"/>
              <w:ind w:left="0" w:right="0" w:hanging="0"/>
              <w:jc w:val="left"/>
              <w:rPr/>
            </w:pPr>
            <w:r>
              <w:rPr/>
              <w:t>​</w:t>
            </w:r>
          </w:p>
        </w:tc>
        <w:tc>
          <w:tcPr>
            <w:tcW w:w="8274" w:type="dxa"/>
            <w:tcBorders/>
            <w:vAlign w:val="center"/>
          </w:tcPr>
          <w:p>
            <w:pPr>
              <w:pStyle w:val="TableContents"/>
              <w:bidi w:val="0"/>
              <w:spacing w:before="0" w:after="0"/>
              <w:ind w:left="0" w:right="0" w:hanging="0"/>
              <w:jc w:val="left"/>
              <w:rPr/>
            </w:pPr>
            <w:hyperlink w:anchor="Item4MineSafetyDisclosures_930077">
              <w:r>
                <w:rPr>
                  <w:rStyle w:val="InternetLink"/>
                  <w:rFonts w:ascii="Times New Roman;Times;serif" w:hAnsi="Times New Roman;Times;serif"/>
                  <w:b w:val="false"/>
                  <w:i w:val="false"/>
                  <w:caps w:val="false"/>
                  <w:smallCaps w:val="false"/>
                  <w:sz w:val="20"/>
                </w:rPr>
                <w:t>Mine Safety Disclosures</w:t>
              </w:r>
            </w:hyperlink>
          </w:p>
        </w:tc>
        <w:tc>
          <w:tcPr>
            <w:tcW w:w="32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7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707" w:type="dxa"/>
            <w:tcBorders/>
            <w:vAlign w:val="center"/>
          </w:tcPr>
          <w:p>
            <w:pPr>
              <w:pStyle w:val="TableContents"/>
              <w:bidi w:val="0"/>
              <w:spacing w:before="0" w:after="0"/>
              <w:ind w:left="0" w:right="0" w:hanging="0"/>
              <w:jc w:val="left"/>
              <w:rPr/>
            </w:pPr>
            <w:hyperlink w:anchor="Item5OtherInformation_933411">
              <w:r>
                <w:rPr>
                  <w:rStyle w:val="InternetLink"/>
                  <w:rFonts w:ascii="Times New Roman;Times;serif" w:hAnsi="Times New Roman;Times;serif"/>
                  <w:b w:val="false"/>
                  <w:i w:val="false"/>
                  <w:caps w:val="false"/>
                  <w:smallCaps w:val="false"/>
                  <w:sz w:val="20"/>
                </w:rPr>
                <w:t>Item 5.</w:t>
              </w:r>
            </w:hyperlink>
          </w:p>
        </w:tc>
        <w:tc>
          <w:tcPr>
            <w:tcW w:w="326" w:type="dxa"/>
            <w:tcBorders/>
            <w:vAlign w:val="center"/>
          </w:tcPr>
          <w:p>
            <w:pPr>
              <w:pStyle w:val="TableContents"/>
              <w:bidi w:val="0"/>
              <w:spacing w:before="0" w:after="0"/>
              <w:ind w:left="0" w:right="0" w:hanging="0"/>
              <w:jc w:val="left"/>
              <w:rPr/>
            </w:pPr>
            <w:r>
              <w:rPr/>
              <w:t>​</w:t>
            </w:r>
          </w:p>
        </w:tc>
        <w:tc>
          <w:tcPr>
            <w:tcW w:w="8274" w:type="dxa"/>
            <w:tcBorders/>
            <w:vAlign w:val="center"/>
          </w:tcPr>
          <w:p>
            <w:pPr>
              <w:pStyle w:val="TableContents"/>
              <w:bidi w:val="0"/>
              <w:spacing w:before="0" w:after="0"/>
              <w:ind w:left="0" w:right="0" w:hanging="0"/>
              <w:jc w:val="left"/>
              <w:rPr/>
            </w:pPr>
            <w:hyperlink w:anchor="Item5OtherInformation_933411">
              <w:r>
                <w:rPr>
                  <w:rStyle w:val="InternetLink"/>
                  <w:rFonts w:ascii="Times New Roman;Times;serif" w:hAnsi="Times New Roman;Times;serif"/>
                  <w:b w:val="false"/>
                  <w:i w:val="false"/>
                  <w:caps w:val="false"/>
                  <w:smallCaps w:val="false"/>
                  <w:sz w:val="20"/>
                </w:rPr>
                <w:t>Other Information</w:t>
              </w:r>
            </w:hyperlink>
          </w:p>
        </w:tc>
        <w:tc>
          <w:tcPr>
            <w:tcW w:w="32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7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707" w:type="dxa"/>
            <w:tcBorders/>
            <w:vAlign w:val="center"/>
          </w:tcPr>
          <w:p>
            <w:pPr>
              <w:pStyle w:val="TableContents"/>
              <w:bidi w:val="0"/>
              <w:spacing w:before="0" w:after="0"/>
              <w:ind w:left="0" w:right="0" w:hanging="0"/>
              <w:jc w:val="left"/>
              <w:rPr/>
            </w:pPr>
            <w:hyperlink w:anchor="ITEM6EXHIBITS_639217">
              <w:r>
                <w:rPr>
                  <w:rStyle w:val="InternetLink"/>
                  <w:rFonts w:ascii="Times New Roman;Times;serif" w:hAnsi="Times New Roman;Times;serif"/>
                  <w:b w:val="false"/>
                  <w:i w:val="false"/>
                  <w:caps w:val="false"/>
                  <w:smallCaps w:val="false"/>
                  <w:sz w:val="20"/>
                </w:rPr>
                <w:t>Item 6.</w:t>
              </w:r>
            </w:hyperlink>
          </w:p>
        </w:tc>
        <w:tc>
          <w:tcPr>
            <w:tcW w:w="326" w:type="dxa"/>
            <w:tcBorders/>
            <w:vAlign w:val="center"/>
          </w:tcPr>
          <w:p>
            <w:pPr>
              <w:pStyle w:val="TableContents"/>
              <w:bidi w:val="0"/>
              <w:spacing w:before="0" w:after="0"/>
              <w:ind w:left="0" w:right="0" w:hanging="0"/>
              <w:jc w:val="left"/>
              <w:rPr/>
            </w:pPr>
            <w:r>
              <w:rPr/>
              <w:t>​</w:t>
            </w:r>
          </w:p>
        </w:tc>
        <w:tc>
          <w:tcPr>
            <w:tcW w:w="8274" w:type="dxa"/>
            <w:tcBorders/>
            <w:vAlign w:val="center"/>
          </w:tcPr>
          <w:p>
            <w:pPr>
              <w:pStyle w:val="TableContents"/>
              <w:bidi w:val="0"/>
              <w:spacing w:before="0" w:after="0"/>
              <w:ind w:left="0" w:right="0" w:hanging="0"/>
              <w:jc w:val="left"/>
              <w:rPr/>
            </w:pPr>
            <w:hyperlink w:anchor="ITEM6EXHIBITS_639217">
              <w:r>
                <w:rPr>
                  <w:rStyle w:val="InternetLink"/>
                  <w:rFonts w:ascii="Times New Roman;Times;serif" w:hAnsi="Times New Roman;Times;serif"/>
                  <w:b w:val="false"/>
                  <w:i w:val="false"/>
                  <w:caps w:val="false"/>
                  <w:smallCaps w:val="false"/>
                  <w:sz w:val="20"/>
                </w:rPr>
                <w:t>Exhibits</w:t>
              </w:r>
            </w:hyperlink>
          </w:p>
        </w:tc>
        <w:tc>
          <w:tcPr>
            <w:tcW w:w="32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7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9307" w:type="dxa"/>
            <w:gridSpan w:val="3"/>
            <w:tcBorders/>
            <w:vAlign w:val="center"/>
          </w:tcPr>
          <w:p>
            <w:pPr>
              <w:pStyle w:val="TableContents"/>
              <w:bidi w:val="0"/>
              <w:spacing w:before="0" w:after="0"/>
              <w:ind w:left="0" w:right="0" w:hanging="0"/>
              <w:jc w:val="left"/>
              <w:rPr/>
            </w:pPr>
            <w:hyperlink w:anchor="EXHIBITINDEX_234133">
              <w:r>
                <w:rPr>
                  <w:rStyle w:val="InternetLink"/>
                  <w:rFonts w:ascii="Times New Roman;Times;serif" w:hAnsi="Times New Roman;Times;serif"/>
                  <w:b w:val="false"/>
                  <w:i w:val="false"/>
                  <w:caps w:val="false"/>
                  <w:smallCaps w:val="false"/>
                  <w:sz w:val="20"/>
                </w:rPr>
                <w:t>Exhibit Index</w:t>
              </w:r>
            </w:hyperlink>
          </w:p>
        </w:tc>
        <w:tc>
          <w:tcPr>
            <w:tcW w:w="32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7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9307" w:type="dxa"/>
            <w:gridSpan w:val="3"/>
            <w:tcBorders/>
            <w:vAlign w:val="center"/>
          </w:tcPr>
          <w:p>
            <w:pPr>
              <w:pStyle w:val="TableContents"/>
              <w:bidi w:val="0"/>
              <w:spacing w:before="0" w:after="0"/>
              <w:ind w:left="0" w:right="0" w:hanging="0"/>
              <w:jc w:val="left"/>
              <w:rPr/>
            </w:pPr>
            <w:hyperlink w:anchor="SIGNATURES_336995">
              <w:r>
                <w:rPr>
                  <w:rStyle w:val="InternetLink"/>
                  <w:rFonts w:ascii="Times New Roman;Times;serif" w:hAnsi="Times New Roman;Times;serif"/>
                  <w:b w:val="false"/>
                  <w:i w:val="false"/>
                  <w:caps w:val="false"/>
                  <w:smallCaps w:val="false"/>
                  <w:sz w:val="20"/>
                </w:rPr>
                <w:t>Signatures</w:t>
              </w:r>
            </w:hyperlink>
          </w:p>
        </w:tc>
        <w:tc>
          <w:tcPr>
            <w:tcW w:w="326" w:type="dxa"/>
            <w:tcBorders/>
            <w:vAlign w:val="center"/>
          </w:tcPr>
          <w:p>
            <w:pPr>
              <w:pStyle w:val="TableContents"/>
              <w:bidi w:val="0"/>
              <w:spacing w:before="0" w:after="0"/>
              <w:ind w:left="0" w:right="0" w:hanging="0"/>
              <w:jc w:val="right"/>
              <w:rPr/>
            </w:pPr>
            <w:r>
              <w:rPr/>
              <w:t>​</w:t>
            </w:r>
          </w:p>
        </w:tc>
        <w:tc>
          <w:tcPr>
            <w:tcW w:w="572" w:type="dxa"/>
            <w:tcBorders/>
            <w:vAlign w:val="center"/>
          </w:tcPr>
          <w:p>
            <w:pPr>
              <w:pStyle w:val="TableContents"/>
              <w:bidi w:val="0"/>
              <w:spacing w:before="0" w:after="0"/>
              <w:ind w:left="0" w:right="58" w:hanging="0"/>
              <w:jc w:val="right"/>
              <w:rPr>
                <w:rFonts w:ascii="Times New Roman;Times;serif" w:hAnsi="Times New Roman;Times;serif"/>
                <w:sz w:val="20"/>
              </w:rPr>
            </w:pPr>
            <w:r>
              <w:rPr>
                <w:rFonts w:ascii="Times New Roman;Times;serif" w:hAnsi="Times New Roman;Times;serif"/>
                <w:sz w:val="20"/>
              </w:rPr>
              <w:t>42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i/>
          <w:sz w:val="20"/>
        </w:rPr>
      </w:pPr>
      <w:bookmarkStart w:id="33" w:name="_11ee3c5a_411b_4ea5_b7f9_5f6645f30939"/>
      <w:bookmarkEnd w:id="33"/>
      <w:r>
        <w:rPr>
          <w:rFonts w:ascii="Times New Roman;Times;serif" w:hAnsi="Times New Roman;Times;serif"/>
          <w:b/>
          <w:i/>
          <w:sz w:val="20"/>
        </w:rPr>
        <w:t>Explanatory Note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Hoyne Bancorp, Inc. was formed to serve as the stock holding company for Hoyne Savings Bank in connection with the conversion of Hoyne Savings, MHC, the mutual holding company and sole stockholder of Hoyne Financial Corporation and Hoyne Savings Bank, from the mutual form of organization to the stock form of organization. As of September 30, 2025, the reorganization had not yet been completed, and Hoyne Bancorp, Inc. had no assets or liabilities and had not conducted any business activities other than organizational activities. Accordingly, the unaudited consolidated financial statements and other financial information contained in this Quarterly Report on Form 10-Q relate solely to the consolidated financial results of Hoyne Savings, MHC, Hoyne Financial Corporation, and Hoyne Savings Bank.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unaudited consolidated financial statements and other financial information contained in this Quarterly Report on Form 10-Q should be read in conjunction with the audited consolidated financial statements and related notes of Hoyne Savings, MHC at and for the years ended December 31, 2024 and 2023 contained in Hoyne Bancorp Inc.’s definitive prospectus dated September 30, 2025, as filed with the Securities Exchange Commission pursuant to Securities Act Rule 424(b)(3) on October 2, 2025 (the “Prospectus”).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4" w:name="PARTIFINANCIALINFORMATION_47146"/>
      <w:bookmarkStart w:id="35" w:name="_c2374362_2081_4355_95e6_52edfdcf1e4f"/>
      <w:bookmarkEnd w:id="34"/>
      <w:bookmarkEnd w:id="35"/>
      <w:r>
        <w:rPr>
          <w:rFonts w:ascii="Times New Roman;Times;serif" w:hAnsi="Times New Roman;Times;serif"/>
          <w:b/>
          <w:sz w:val="20"/>
        </w:rPr>
        <w:t>PART I —FINANCIAL INFORMATION</w:t>
      </w:r>
    </w:p>
    <w:p>
      <w:pPr>
        <w:pStyle w:val="TextBody"/>
        <w:bidi w:val="0"/>
        <w:spacing w:before="0" w:after="240"/>
        <w:ind w:left="0" w:right="0" w:hanging="0"/>
        <w:jc w:val="left"/>
        <w:rPr>
          <w:rFonts w:ascii="Times New Roman;Times;serif" w:hAnsi="Times New Roman;Times;serif"/>
          <w:b/>
          <w:sz w:val="20"/>
        </w:rPr>
      </w:pPr>
      <w:bookmarkStart w:id="36" w:name="Item1ConsolidatedFinancialStatements_471"/>
      <w:bookmarkEnd w:id="36"/>
      <w:r>
        <w:rPr>
          <w:rFonts w:ascii="Times New Roman;Times;serif" w:hAnsi="Times New Roman;Times;serif"/>
          <w:b/>
          <w:sz w:val="20"/>
        </w:rPr>
        <w:t>Item 1.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HOYNE SAVINGS, MHC AND SUBSIDIARIES</w:t>
      </w:r>
    </w:p>
    <w:p>
      <w:pPr>
        <w:pStyle w:val="TextBody"/>
        <w:bidi w:val="0"/>
        <w:spacing w:before="0" w:after="0"/>
        <w:ind w:left="0" w:right="0" w:hanging="0"/>
        <w:jc w:val="center"/>
        <w:rPr>
          <w:rFonts w:ascii="Times New Roman;Times;serif" w:hAnsi="Times New Roman;Times;serif"/>
          <w:b/>
          <w:sz w:val="20"/>
        </w:rPr>
      </w:pPr>
      <w:bookmarkStart w:id="37" w:name="CONSOLIDATEDSTATEMENTOFFINANCIALCONDITIO"/>
      <w:bookmarkEnd w:id="37"/>
      <w:r>
        <w:rPr>
          <w:rFonts w:ascii="Times New Roman;Times;serif" w:hAnsi="Times New Roman;Times;serif"/>
          <w:b/>
          <w:sz w:val="20"/>
        </w:rPr>
        <w:t>CONSOLIDATED STATEMENT OF FINANCIAL CONDITION</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8" w:name="Tc_l36U1fPy1Um4uoxK7rEvGA_30_5"/>
      <w:bookmarkStart w:id="39" w:name="Tc_LwKOcGV59E6VSYT3fdGO_A_30_2"/>
      <w:bookmarkStart w:id="40" w:name="Tc_Ubsv7UpplEyMq_TS3l0hHA_30_0"/>
      <w:bookmarkStart w:id="41" w:name="Tc_ZK9SJnp5s0qw4WqCUD1oAg_29_0"/>
      <w:bookmarkStart w:id="42" w:name="Tc_Is01qevfNEy-40gE1-N5Dw_28_0"/>
      <w:bookmarkStart w:id="43" w:name="Tc_4cZVRr46aUOjeZlhrVuNyg_27_0"/>
      <w:bookmarkStart w:id="44" w:name="Tc_aNJShURwnkOGJUY-CVViuQ_26_0"/>
      <w:bookmarkStart w:id="45" w:name="Tc_E0A3lP_2kEG361TRfMkG1A_25_0"/>
      <w:bookmarkStart w:id="46" w:name="Tc_f9KTXM4taE61j6R1Vdbaqw_24_0"/>
      <w:bookmarkStart w:id="47" w:name="Tc_7R-4p3Z5H0eLFtP8t1zCzg_23_0"/>
      <w:bookmarkStart w:id="48" w:name="Tc_SFAkk3XgZEqi3NkBwokBdQ_22_5"/>
      <w:bookmarkStart w:id="49" w:name="Tc_hKVsyjivR0u8LlHa44iveA_22_2"/>
      <w:bookmarkStart w:id="50" w:name="Tc_Hit2M-j4a0qMhGuSPQg-4Q_22_0"/>
      <w:bookmarkStart w:id="51" w:name="Tc_LWZYTAzcyEG4tedt6Oum6A_21_0"/>
      <w:bookmarkStart w:id="52" w:name="Tc_DeycWqYln0ClECPIv8ZBXw_20_0"/>
      <w:bookmarkStart w:id="53" w:name="Tc_ihvuXK0TikK3l9xvetZlag_19_5"/>
      <w:bookmarkStart w:id="54" w:name="Tc_lWUsKizjpk2DgmkjhR8Z3w_19_2"/>
      <w:bookmarkStart w:id="55" w:name="Tc_4Xe5l6O6c0SW8LjNGspS8A_19_0"/>
      <w:bookmarkStart w:id="56" w:name="Tc_ZPvAyys0akizdR3wX0enaA_18_0"/>
      <w:bookmarkStart w:id="57" w:name="Tc_RTINKKK-K0y4wSbISgTohw_17_0"/>
      <w:bookmarkStart w:id="58" w:name="Tc_IDDJ-Zl0UECE_JLTwceCMg_16_0"/>
      <w:bookmarkStart w:id="59" w:name="Tc_Sbg0g4Jj70-vJflO_A_vBA_15_0"/>
      <w:bookmarkStart w:id="60" w:name="Tc_LYm_nkyJNkGZjSZSN6JaHA_14_0"/>
      <w:bookmarkStart w:id="61" w:name="Tc_smPNYLxvxUWl78ern88BZQ_13_0"/>
      <w:bookmarkStart w:id="62" w:name="Tc_Htv3M57fD06ufHR5XQfZLw_12_0"/>
      <w:bookmarkStart w:id="63" w:name="Tc_YqiCVHRqVUizr9lyf_JWBw_11_0"/>
      <w:bookmarkStart w:id="64" w:name="Tc_awU2SznNEkmDkPuMz9esDQ_10_0"/>
      <w:bookmarkStart w:id="65" w:name="Tc_NjTBSsLbTUa7gxxXJ3L0JQ_9_0"/>
      <w:bookmarkStart w:id="66" w:name="Tc_vbEBJN-WMUG2pVIZoc6E7Q_8_0"/>
      <w:bookmarkStart w:id="67" w:name="Tc_dWc1hy-JsUOZ-euUp4c0uA_7_0"/>
      <w:bookmarkStart w:id="68" w:name="Tc_Lg5eybKsT0STiazmYMs9rw_6_0"/>
      <w:bookmarkStart w:id="69" w:name="Tc_gR7RcsK3xUmBNK9oCE9YKw_5_0"/>
      <w:bookmarkStart w:id="70" w:name="Tc_SPnrgRVm_Ee6Ty8KTeqRbA_4_5"/>
      <w:bookmarkStart w:id="71" w:name="Tc_KGoIVpvoTkuR_MsFzglixg_4_2"/>
      <w:bookmarkStart w:id="72" w:name="Tc_HjiUD5DPHU6v7W2Kh4Imsg_4_0"/>
      <w:bookmarkStart w:id="73" w:name="Tc_mkqroj5k6E-dc16bfCwCMA_3_0"/>
      <w:bookmarkStart w:id="74" w:name="Tc_j9pcOJv7xEC_YrHv4h8j3A_2_5"/>
      <w:bookmarkStart w:id="75" w:name="Tc_ITSoKw-c30GRVb7-FR9ZCw_2_2"/>
      <w:bookmarkStart w:id="76" w:name="Tc_vCcQ3MsPbEymvrQwKipxJQ_1_5"/>
      <w:bookmarkStart w:id="77" w:name="Tc_xqou4Wo1iUmEQGNSAysVIA_1_2"/>
      <w:bookmarkStart w:id="78" w:name="_dafc2e84_f97c_40ce_8a2f_0690baa2bef6"/>
      <w:bookmarkStart w:id="79" w:name="Tc_l36U1fPy1Um4uoxK7rEvGA_30_5"/>
      <w:bookmarkStart w:id="80" w:name="Tc_LwKOcGV59E6VSYT3fdGO_A_30_2"/>
      <w:bookmarkStart w:id="81" w:name="Tc_Ubsv7UpplEyMq_TS3l0hHA_30_0"/>
      <w:bookmarkStart w:id="82" w:name="Tc_ZK9SJnp5s0qw4WqCUD1oAg_29_0"/>
      <w:bookmarkStart w:id="83" w:name="Tc_Is01qevfNEy-40gE1-N5Dw_28_0"/>
      <w:bookmarkStart w:id="84" w:name="Tc_4cZVRr46aUOjeZlhrVuNyg_27_0"/>
      <w:bookmarkStart w:id="85" w:name="Tc_aNJShURwnkOGJUY-CVViuQ_26_0"/>
      <w:bookmarkStart w:id="86" w:name="Tc_E0A3lP_2kEG361TRfMkG1A_25_0"/>
      <w:bookmarkStart w:id="87" w:name="Tc_f9KTXM4taE61j6R1Vdbaqw_24_0"/>
      <w:bookmarkStart w:id="88" w:name="Tc_7R-4p3Z5H0eLFtP8t1zCzg_23_0"/>
      <w:bookmarkStart w:id="89" w:name="Tc_SFAkk3XgZEqi3NkBwokBdQ_22_5"/>
      <w:bookmarkStart w:id="90" w:name="Tc_hKVsyjivR0u8LlHa44iveA_22_2"/>
      <w:bookmarkStart w:id="91" w:name="Tc_Hit2M-j4a0qMhGuSPQg-4Q_22_0"/>
      <w:bookmarkStart w:id="92" w:name="Tc_LWZYTAzcyEG4tedt6Oum6A_21_0"/>
      <w:bookmarkStart w:id="93" w:name="Tc_DeycWqYln0ClECPIv8ZBXw_20_0"/>
      <w:bookmarkStart w:id="94" w:name="Tc_ihvuXK0TikK3l9xvetZlag_19_5"/>
      <w:bookmarkStart w:id="95" w:name="Tc_lWUsKizjpk2DgmkjhR8Z3w_19_2"/>
      <w:bookmarkStart w:id="96" w:name="Tc_4Xe5l6O6c0SW8LjNGspS8A_19_0"/>
      <w:bookmarkStart w:id="97" w:name="Tc_ZPvAyys0akizdR3wX0enaA_18_0"/>
      <w:bookmarkStart w:id="98" w:name="Tc_RTINKKK-K0y4wSbISgTohw_17_0"/>
      <w:bookmarkStart w:id="99" w:name="Tc_IDDJ-Zl0UECE_JLTwceCMg_16_0"/>
      <w:bookmarkStart w:id="100" w:name="Tc_Sbg0g4Jj70-vJflO_A_vBA_15_0"/>
      <w:bookmarkStart w:id="101" w:name="Tc_LYm_nkyJNkGZjSZSN6JaHA_14_0"/>
      <w:bookmarkStart w:id="102" w:name="Tc_smPNYLxvxUWl78ern88BZQ_13_0"/>
      <w:bookmarkStart w:id="103" w:name="Tc_Htv3M57fD06ufHR5XQfZLw_12_0"/>
      <w:bookmarkStart w:id="104" w:name="Tc_YqiCVHRqVUizr9lyf_JWBw_11_0"/>
      <w:bookmarkStart w:id="105" w:name="Tc_awU2SznNEkmDkPuMz9esDQ_10_0"/>
      <w:bookmarkStart w:id="106" w:name="Tc_NjTBSsLbTUa7gxxXJ3L0JQ_9_0"/>
      <w:bookmarkStart w:id="107" w:name="Tc_vbEBJN-WMUG2pVIZoc6E7Q_8_0"/>
      <w:bookmarkStart w:id="108" w:name="Tc_dWc1hy-JsUOZ-euUp4c0uA_7_0"/>
      <w:bookmarkStart w:id="109" w:name="Tc_Lg5eybKsT0STiazmYMs9rw_6_0"/>
      <w:bookmarkStart w:id="110" w:name="Tc_gR7RcsK3xUmBNK9oCE9YKw_5_0"/>
      <w:bookmarkStart w:id="111" w:name="Tc_SPnrgRVm_Ee6Ty8KTeqRbA_4_5"/>
      <w:bookmarkStart w:id="112" w:name="Tc_KGoIVpvoTkuR_MsFzglixg_4_2"/>
      <w:bookmarkStart w:id="113" w:name="Tc_HjiUD5DPHU6v7W2Kh4Imsg_4_0"/>
      <w:bookmarkStart w:id="114" w:name="Tc_mkqroj5k6E-dc16bfCwCMA_3_0"/>
      <w:bookmarkStart w:id="115" w:name="Tc_j9pcOJv7xEC_YrHv4h8j3A_2_5"/>
      <w:bookmarkStart w:id="116" w:name="Tc_ITSoKw-c30GRVb7-FR9ZCw_2_2"/>
      <w:bookmarkStart w:id="117" w:name="Tc_vCcQ3MsPbEymvrQwKipxJQ_1_5"/>
      <w:bookmarkStart w:id="118" w:name="Tc_xqou4Wo1iUmEQGNSAysVIA_1_2"/>
      <w:bookmarkStart w:id="119" w:name="_dafc2e84_f97c_40ce_8a2f_0690baa2bef6"/>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p>
    <w:tbl>
      <w:tblPr>
        <w:tblW w:w="10205" w:type="dxa"/>
        <w:jc w:val="left"/>
        <w:tblInd w:w="0" w:type="dxa"/>
        <w:tblLayout w:type="fixed"/>
        <w:tblCellMar>
          <w:top w:w="0" w:type="dxa"/>
          <w:left w:w="0" w:type="dxa"/>
          <w:bottom w:w="0" w:type="dxa"/>
          <w:right w:w="0" w:type="dxa"/>
        </w:tblCellMar>
      </w:tblPr>
      <w:tblGrid>
        <w:gridCol w:w="6461"/>
        <w:gridCol w:w="326"/>
        <w:gridCol w:w="241"/>
        <w:gridCol w:w="1305"/>
        <w:gridCol w:w="326"/>
        <w:gridCol w:w="223"/>
        <w:gridCol w:w="1323"/>
      </w:tblGrid>
      <w:tr>
        <w:trPr/>
        <w:tc>
          <w:tcPr>
            <w:tcW w:w="6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102735" cy="175260"/>
                      <wp:effectExtent l="0" t="0" r="0" b="0"/>
                      <wp:wrapNone/>
                      <wp:docPr id="5" name="Frame4"/>
                      <a:graphic xmlns:a="http://schemas.openxmlformats.org/drawingml/2006/main">
                        <a:graphicData uri="http://schemas.microsoft.com/office/word/2010/wordprocessingShape">
                          <wps:wsp>
                            <wps:cNvSpPr txBox="1"/>
                            <wps:spPr>
                              <a:xfrm>
                                <a:off x="0" y="0"/>
                                <a:ext cx="4102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7010" cy="175260"/>
                      <wp:effectExtent l="0" t="0" r="0" b="0"/>
                      <wp:wrapNone/>
                      <wp:docPr id="6"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53035" cy="175260"/>
                      <wp:effectExtent l="0" t="0" r="0" b="0"/>
                      <wp:wrapNone/>
                      <wp:docPr id="7" name="Frame6"/>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828675" cy="175260"/>
                      <wp:effectExtent l="0" t="0" r="0" b="0"/>
                      <wp:wrapNone/>
                      <wp:docPr id="8" name="Frame7"/>
                      <a:graphic xmlns:a="http://schemas.openxmlformats.org/drawingml/2006/main">
                        <a:graphicData uri="http://schemas.microsoft.com/office/word/2010/wordprocessingShape">
                          <wps:wsp>
                            <wps:cNvSpPr txBox="1"/>
                            <wps:spPr>
                              <a:xfrm>
                                <a:off x="0" y="0"/>
                                <a:ext cx="828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9"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41605" cy="175260"/>
                      <wp:effectExtent l="0" t="0" r="0" b="0"/>
                      <wp:wrapNone/>
                      <wp:docPr id="10" name="Frame9"/>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840105" cy="175260"/>
                      <wp:effectExtent l="0" t="0" r="0" b="0"/>
                      <wp:wrapNone/>
                      <wp:docPr id="11" name="Frame10"/>
                      <a:graphic xmlns:a="http://schemas.openxmlformats.org/drawingml/2006/main">
                        <a:graphicData uri="http://schemas.microsoft.com/office/word/2010/wordprocessingShape">
                          <wps:wsp>
                            <wps:cNvSpPr txBox="1"/>
                            <wps:spPr>
                              <a:xfrm>
                                <a:off x="0" y="0"/>
                                <a:ext cx="840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4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64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vAlign w:val="center"/>
          </w:tcPr>
          <w:p>
            <w:pPr>
              <w:pStyle w:val="TableContents"/>
              <w:bidi w:val="0"/>
              <w:spacing w:before="0" w:after="1"/>
              <w:ind w:left="0" w:right="0" w:hanging="0"/>
              <w:jc w:val="center"/>
              <w:rPr/>
            </w:pPr>
            <w:r>
              <w:rPr/>
              <w:t>​</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(audited)</w:t>
            </w:r>
          </w:p>
        </w:tc>
      </w:tr>
      <w:tr>
        <w:trPr/>
        <w:tc>
          <w:tcPr>
            <w:tcW w:w="6461"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1"/>
              <w:ind w:left="0" w:right="0" w:hanging="0"/>
              <w:jc w:val="center"/>
              <w:rPr/>
            </w:pPr>
            <w:r>
              <w:rPr/>
              <w:t>​</w:t>
            </w:r>
          </w:p>
        </w:tc>
        <w:tc>
          <w:tcPr>
            <w:tcW w:w="241" w:type="dxa"/>
            <w:tcBorders/>
            <w:shd w:fill="CCEEFF" w:val="clear"/>
            <w:vAlign w:val="center"/>
          </w:tcPr>
          <w:p>
            <w:pPr>
              <w:pStyle w:val="TableContents"/>
              <w:bidi w:val="0"/>
              <w:spacing w:before="0" w:after="1"/>
              <w:ind w:left="0" w:right="0" w:hanging="0"/>
              <w:jc w:val="center"/>
              <w:rPr/>
            </w:pPr>
            <w:r>
              <w:rPr/>
              <w:t>​</w:t>
            </w:r>
          </w:p>
        </w:tc>
        <w:tc>
          <w:tcPr>
            <w:tcW w:w="1305"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23" w:type="dxa"/>
            <w:tcBorders/>
            <w:shd w:fill="CCEEFF" w:val="clear"/>
            <w:vAlign w:val="center"/>
          </w:tcPr>
          <w:p>
            <w:pPr>
              <w:pStyle w:val="TableContents"/>
              <w:bidi w:val="0"/>
              <w:spacing w:before="0" w:after="1"/>
              <w:ind w:left="0" w:right="0" w:hanging="0"/>
              <w:jc w:val="center"/>
              <w:rPr/>
            </w:pPr>
            <w:r>
              <w:rPr/>
              <w:t>​</w:t>
            </w:r>
          </w:p>
        </w:tc>
        <w:tc>
          <w:tcPr>
            <w:tcW w:w="1323" w:type="dxa"/>
            <w:tcBorders/>
            <w:shd w:fill="CCEEFF" w:val="clear"/>
            <w:vAlign w:val="center"/>
          </w:tcPr>
          <w:p>
            <w:pPr>
              <w:pStyle w:val="TableContents"/>
              <w:bidi w:val="0"/>
              <w:spacing w:before="0" w:after="1"/>
              <w:ind w:left="0" w:right="0" w:hanging="0"/>
              <w:jc w:val="center"/>
              <w:rPr/>
            </w:pPr>
            <w:r>
              <w:rPr/>
              <w:t>​</w:t>
            </w:r>
          </w:p>
        </w:tc>
      </w:tr>
      <w:tr>
        <w:trPr/>
        <w:tc>
          <w:tcPr>
            <w:tcW w:w="64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vAlign w:val="center"/>
          </w:tcPr>
          <w:p>
            <w:pPr>
              <w:pStyle w:val="TableContents"/>
              <w:bidi w:val="0"/>
              <w:spacing w:before="0" w:after="1"/>
              <w:ind w:left="0" w:right="0" w:hanging="0"/>
              <w:jc w:val="center"/>
              <w:rPr/>
            </w:pPr>
            <w:r>
              <w:rPr/>
              <w:t>​</w:t>
            </w:r>
          </w:p>
        </w:tc>
        <w:tc>
          <w:tcPr>
            <w:tcW w:w="2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26,928,118</w:t>
            </w:r>
          </w:p>
        </w:tc>
        <w:tc>
          <w:tcPr>
            <w:tcW w:w="326" w:type="dxa"/>
            <w:tcBorders/>
            <w:vAlign w:val="center"/>
          </w:tcPr>
          <w:p>
            <w:pPr>
              <w:pStyle w:val="TableContents"/>
              <w:bidi w:val="0"/>
              <w:spacing w:before="0" w:after="1"/>
              <w:ind w:left="0" w:right="0" w:hanging="0"/>
              <w:jc w:val="center"/>
              <w:rPr/>
            </w:pPr>
            <w:r>
              <w:rPr/>
              <w:t>​</w:t>
            </w:r>
          </w:p>
        </w:tc>
        <w:tc>
          <w:tcPr>
            <w:tcW w:w="2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15,327,048</w:t>
            </w:r>
          </w:p>
        </w:tc>
      </w:tr>
      <w:tr>
        <w:trPr/>
        <w:tc>
          <w:tcPr>
            <w:tcW w:w="6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Certificates of deposit</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13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870,000</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13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1,350,000</w:t>
            </w:r>
          </w:p>
        </w:tc>
      </w:tr>
      <w:tr>
        <w:trPr/>
        <w:tc>
          <w:tcPr>
            <w:tcW w:w="64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securities:</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130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1323" w:type="dxa"/>
            <w:tcBorders/>
            <w:vAlign w:val="center"/>
          </w:tcPr>
          <w:p>
            <w:pPr>
              <w:pStyle w:val="TableContents"/>
              <w:bidi w:val="0"/>
              <w:spacing w:before="0" w:after="1"/>
              <w:ind w:left="0" w:right="0" w:hanging="0"/>
              <w:jc w:val="left"/>
              <w:rPr/>
            </w:pPr>
            <w:r>
              <w:rPr/>
              <w:t>​</w:t>
            </w:r>
          </w:p>
        </w:tc>
      </w:tr>
      <w:tr>
        <w:trPr/>
        <w:tc>
          <w:tcPr>
            <w:tcW w:w="6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Available-for-sale, (amortized cost of $125,068,724 at September 30, 2025 and $138,780,879 at December 31, 2024 respectively)</w:t>
            </w:r>
          </w:p>
        </w:tc>
        <w:tc>
          <w:tcPr>
            <w:tcW w:w="326" w:type="dxa"/>
            <w:tcBorders/>
            <w:shd w:fill="CCEEFF" w:val="clear"/>
            <w:vAlign w:val="center"/>
          </w:tcPr>
          <w:p>
            <w:pPr>
              <w:pStyle w:val="TableContents"/>
              <w:bidi w:val="0"/>
              <w:spacing w:before="0" w:after="1"/>
              <w:ind w:left="0" w:right="0" w:hanging="0"/>
              <w:jc w:val="left"/>
              <w:rPr/>
            </w:pPr>
            <w:r>
              <w:rPr/>
              <w:t> </w:t>
            </w:r>
          </w:p>
        </w:tc>
        <w:tc>
          <w:tcPr>
            <w:tcW w:w="241" w:type="dxa"/>
            <w:tcBorders/>
            <w:shd w:fill="CCEEFF" w:val="clear"/>
            <w:vAlign w:val="center"/>
          </w:tcPr>
          <w:p>
            <w:pPr>
              <w:pStyle w:val="TableContents"/>
              <w:bidi w:val="0"/>
              <w:spacing w:before="0" w:after="1"/>
              <w:ind w:left="0" w:right="0" w:hanging="0"/>
              <w:jc w:val="left"/>
              <w:rPr/>
            </w:pPr>
            <w:r>
              <w:rPr/>
              <w:t>​</w:t>
            </w:r>
          </w:p>
        </w:tc>
        <w:tc>
          <w:tcPr>
            <w:tcW w:w="13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108,840,628</w:t>
            </w:r>
          </w:p>
        </w:tc>
        <w:tc>
          <w:tcPr>
            <w:tcW w:w="326" w:type="dxa"/>
            <w:tcBorders/>
            <w:shd w:fill="CCEEFF" w:val="clear"/>
            <w:vAlign w:val="center"/>
          </w:tcPr>
          <w:p>
            <w:pPr>
              <w:pStyle w:val="TableContents"/>
              <w:bidi w:val="0"/>
              <w:spacing w:before="0" w:after="1"/>
              <w:ind w:left="0" w:right="0" w:hanging="0"/>
              <w:jc w:val="left"/>
              <w:rPr/>
            </w:pPr>
            <w:r>
              <w:rPr/>
              <w:t> </w:t>
            </w:r>
          </w:p>
        </w:tc>
        <w:tc>
          <w:tcPr>
            <w:tcW w:w="223" w:type="dxa"/>
            <w:tcBorders/>
            <w:shd w:fill="CCEEFF" w:val="clear"/>
            <w:vAlign w:val="center"/>
          </w:tcPr>
          <w:p>
            <w:pPr>
              <w:pStyle w:val="TableContents"/>
              <w:bidi w:val="0"/>
              <w:spacing w:before="0" w:after="1"/>
              <w:ind w:left="0" w:right="0" w:hanging="0"/>
              <w:jc w:val="left"/>
              <w:rPr/>
            </w:pPr>
            <w:r>
              <w:rPr/>
              <w:t>​</w:t>
            </w:r>
          </w:p>
        </w:tc>
        <w:tc>
          <w:tcPr>
            <w:tcW w:w="13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116,554,742</w:t>
            </w:r>
          </w:p>
        </w:tc>
      </w:tr>
      <w:tr>
        <w:trPr/>
        <w:tc>
          <w:tcPr>
            <w:tcW w:w="64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Held-to-maturity, at amortized cost</w:t>
            </w:r>
          </w:p>
        </w:tc>
        <w:tc>
          <w:tcPr>
            <w:tcW w:w="326" w:type="dxa"/>
            <w:tcBorders/>
            <w:vAlign w:val="center"/>
          </w:tcPr>
          <w:p>
            <w:pPr>
              <w:pStyle w:val="TableContents"/>
              <w:bidi w:val="0"/>
              <w:spacing w:before="0" w:after="1"/>
              <w:ind w:left="0" w:right="0" w:hanging="0"/>
              <w:jc w:val="left"/>
              <w:rPr/>
            </w:pPr>
            <w:r>
              <w:rPr/>
              <w:t> </w:t>
            </w:r>
          </w:p>
        </w:tc>
        <w:tc>
          <w:tcPr>
            <w:tcW w:w="241" w:type="dxa"/>
            <w:tcBorders/>
            <w:vAlign w:val="center"/>
          </w:tcPr>
          <w:p>
            <w:pPr>
              <w:pStyle w:val="TableContents"/>
              <w:bidi w:val="0"/>
              <w:spacing w:before="0" w:after="1"/>
              <w:ind w:left="0" w:right="0" w:hanging="0"/>
              <w:jc w:val="left"/>
              <w:rPr/>
            </w:pPr>
            <w:r>
              <w:rPr/>
              <w:t>​</w:t>
            </w:r>
          </w:p>
        </w:tc>
        <w:tc>
          <w:tcPr>
            <w:tcW w:w="13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29,803,754</w:t>
            </w:r>
          </w:p>
        </w:tc>
        <w:tc>
          <w:tcPr>
            <w:tcW w:w="326" w:type="dxa"/>
            <w:tcBorders/>
            <w:vAlign w:val="center"/>
          </w:tcPr>
          <w:p>
            <w:pPr>
              <w:pStyle w:val="TableContents"/>
              <w:bidi w:val="0"/>
              <w:spacing w:before="0" w:after="1"/>
              <w:ind w:left="0" w:right="0" w:hanging="0"/>
              <w:jc w:val="left"/>
              <w:rPr/>
            </w:pPr>
            <w:r>
              <w:rPr/>
              <w:t> </w:t>
            </w:r>
          </w:p>
        </w:tc>
        <w:tc>
          <w:tcPr>
            <w:tcW w:w="223" w:type="dxa"/>
            <w:tcBorders/>
            <w:vAlign w:val="center"/>
          </w:tcPr>
          <w:p>
            <w:pPr>
              <w:pStyle w:val="TableContents"/>
              <w:bidi w:val="0"/>
              <w:spacing w:before="0" w:after="1"/>
              <w:ind w:left="0" w:right="0" w:hanging="0"/>
              <w:jc w:val="left"/>
              <w:rPr/>
            </w:pPr>
            <w:r>
              <w:rPr/>
              <w:t>​</w:t>
            </w:r>
          </w:p>
        </w:tc>
        <w:tc>
          <w:tcPr>
            <w:tcW w:w="13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34,021,548</w:t>
            </w:r>
          </w:p>
        </w:tc>
      </w:tr>
      <w:tr>
        <w:trPr/>
        <w:tc>
          <w:tcPr>
            <w:tcW w:w="6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Federal Home Loan Bank of Chicago stock (FHLB)</w:t>
            </w:r>
          </w:p>
        </w:tc>
        <w:tc>
          <w:tcPr>
            <w:tcW w:w="326" w:type="dxa"/>
            <w:tcBorders/>
            <w:shd w:fill="CCEEFF" w:val="clear"/>
            <w:vAlign w:val="center"/>
          </w:tcPr>
          <w:p>
            <w:pPr>
              <w:pStyle w:val="TableContents"/>
              <w:bidi w:val="0"/>
              <w:spacing w:before="0" w:after="1"/>
              <w:ind w:left="0" w:right="0" w:hanging="0"/>
              <w:jc w:val="left"/>
              <w:rPr/>
            </w:pPr>
            <w:r>
              <w:rPr/>
              <w:t> </w:t>
            </w:r>
          </w:p>
        </w:tc>
        <w:tc>
          <w:tcPr>
            <w:tcW w:w="241" w:type="dxa"/>
            <w:tcBorders/>
            <w:shd w:fill="CCEEFF" w:val="clear"/>
            <w:vAlign w:val="center"/>
          </w:tcPr>
          <w:p>
            <w:pPr>
              <w:pStyle w:val="TableContents"/>
              <w:bidi w:val="0"/>
              <w:spacing w:before="0" w:after="1"/>
              <w:ind w:left="0" w:right="0" w:hanging="0"/>
              <w:jc w:val="left"/>
              <w:rPr/>
            </w:pPr>
            <w:r>
              <w:rPr/>
              <w:t>​</w:t>
            </w:r>
          </w:p>
        </w:tc>
        <w:tc>
          <w:tcPr>
            <w:tcW w:w="13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1,165,700</w:t>
            </w:r>
          </w:p>
        </w:tc>
        <w:tc>
          <w:tcPr>
            <w:tcW w:w="326" w:type="dxa"/>
            <w:tcBorders/>
            <w:shd w:fill="CCEEFF" w:val="clear"/>
            <w:vAlign w:val="center"/>
          </w:tcPr>
          <w:p>
            <w:pPr>
              <w:pStyle w:val="TableContents"/>
              <w:bidi w:val="0"/>
              <w:spacing w:before="0" w:after="1"/>
              <w:ind w:left="0" w:right="0" w:hanging="0"/>
              <w:jc w:val="left"/>
              <w:rPr/>
            </w:pPr>
            <w:r>
              <w:rPr/>
              <w:t> </w:t>
            </w:r>
          </w:p>
        </w:tc>
        <w:tc>
          <w:tcPr>
            <w:tcW w:w="223" w:type="dxa"/>
            <w:tcBorders/>
            <w:shd w:fill="CCEEFF" w:val="clear"/>
            <w:vAlign w:val="center"/>
          </w:tcPr>
          <w:p>
            <w:pPr>
              <w:pStyle w:val="TableContents"/>
              <w:bidi w:val="0"/>
              <w:spacing w:before="0" w:after="1"/>
              <w:ind w:left="0" w:right="0" w:hanging="0"/>
              <w:jc w:val="left"/>
              <w:rPr/>
            </w:pPr>
            <w:r>
              <w:rPr/>
              <w:t>​</w:t>
            </w:r>
          </w:p>
        </w:tc>
        <w:tc>
          <w:tcPr>
            <w:tcW w:w="13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1,165,700</w:t>
            </w:r>
          </w:p>
        </w:tc>
      </w:tr>
      <w:tr>
        <w:trPr/>
        <w:tc>
          <w:tcPr>
            <w:tcW w:w="64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Bankers Bank stock</w:t>
            </w:r>
          </w:p>
        </w:tc>
        <w:tc>
          <w:tcPr>
            <w:tcW w:w="326" w:type="dxa"/>
            <w:tcBorders/>
            <w:vAlign w:val="center"/>
          </w:tcPr>
          <w:p>
            <w:pPr>
              <w:pStyle w:val="TableContents"/>
              <w:bidi w:val="0"/>
              <w:spacing w:before="0" w:after="1"/>
              <w:ind w:left="0" w:right="0" w:hanging="0"/>
              <w:jc w:val="left"/>
              <w:rPr/>
            </w:pPr>
            <w:r>
              <w:rPr/>
              <w:t> </w:t>
            </w:r>
          </w:p>
        </w:tc>
        <w:tc>
          <w:tcPr>
            <w:tcW w:w="241" w:type="dxa"/>
            <w:tcBorders/>
            <w:vAlign w:val="center"/>
          </w:tcPr>
          <w:p>
            <w:pPr>
              <w:pStyle w:val="TableContents"/>
              <w:bidi w:val="0"/>
              <w:spacing w:before="0" w:after="1"/>
              <w:ind w:left="0" w:right="0" w:hanging="0"/>
              <w:jc w:val="left"/>
              <w:rPr/>
            </w:pPr>
            <w:r>
              <w:rPr/>
              <w:t>​</w:t>
            </w:r>
          </w:p>
        </w:tc>
        <w:tc>
          <w:tcPr>
            <w:tcW w:w="13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992,250</w:t>
            </w:r>
          </w:p>
        </w:tc>
        <w:tc>
          <w:tcPr>
            <w:tcW w:w="326" w:type="dxa"/>
            <w:tcBorders/>
            <w:vAlign w:val="center"/>
          </w:tcPr>
          <w:p>
            <w:pPr>
              <w:pStyle w:val="TableContents"/>
              <w:bidi w:val="0"/>
              <w:spacing w:before="0" w:after="1"/>
              <w:ind w:left="0" w:right="0" w:hanging="0"/>
              <w:jc w:val="left"/>
              <w:rPr/>
            </w:pPr>
            <w:r>
              <w:rPr/>
              <w:t> </w:t>
            </w:r>
          </w:p>
        </w:tc>
        <w:tc>
          <w:tcPr>
            <w:tcW w:w="223" w:type="dxa"/>
            <w:tcBorders/>
            <w:vAlign w:val="center"/>
          </w:tcPr>
          <w:p>
            <w:pPr>
              <w:pStyle w:val="TableContents"/>
              <w:bidi w:val="0"/>
              <w:spacing w:before="0" w:after="1"/>
              <w:ind w:left="0" w:right="0" w:hanging="0"/>
              <w:jc w:val="left"/>
              <w:rPr/>
            </w:pPr>
            <w:r>
              <w:rPr/>
              <w:t>​</w:t>
            </w:r>
          </w:p>
        </w:tc>
        <w:tc>
          <w:tcPr>
            <w:tcW w:w="13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992,250</w:t>
            </w:r>
          </w:p>
        </w:tc>
      </w:tr>
      <w:tr>
        <w:trPr/>
        <w:tc>
          <w:tcPr>
            <w:tcW w:w="6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Real Estate Owned (REO) </w:t>
            </w:r>
          </w:p>
        </w:tc>
        <w:tc>
          <w:tcPr>
            <w:tcW w:w="326" w:type="dxa"/>
            <w:tcBorders/>
            <w:shd w:fill="CCEEFF" w:val="clear"/>
            <w:vAlign w:val="center"/>
          </w:tcPr>
          <w:p>
            <w:pPr>
              <w:pStyle w:val="TableContents"/>
              <w:bidi w:val="0"/>
              <w:spacing w:before="0" w:after="1"/>
              <w:ind w:left="0" w:right="0" w:hanging="0"/>
              <w:jc w:val="left"/>
              <w:rPr/>
            </w:pPr>
            <w:r>
              <w:rPr/>
              <w:t> </w:t>
            </w:r>
          </w:p>
        </w:tc>
        <w:tc>
          <w:tcPr>
            <w:tcW w:w="241" w:type="dxa"/>
            <w:tcBorders/>
            <w:shd w:fill="CCEEFF" w:val="clear"/>
            <w:vAlign w:val="center"/>
          </w:tcPr>
          <w:p>
            <w:pPr>
              <w:pStyle w:val="TableContents"/>
              <w:bidi w:val="0"/>
              <w:spacing w:before="0" w:after="1"/>
              <w:ind w:left="0" w:right="0" w:hanging="0"/>
              <w:jc w:val="left"/>
              <w:rPr/>
            </w:pPr>
            <w:r>
              <w:rPr/>
              <w:t>​</w:t>
            </w:r>
          </w:p>
        </w:tc>
        <w:tc>
          <w:tcPr>
            <w:tcW w:w="13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868,327</w:t>
            </w:r>
          </w:p>
        </w:tc>
        <w:tc>
          <w:tcPr>
            <w:tcW w:w="326" w:type="dxa"/>
            <w:tcBorders/>
            <w:shd w:fill="CCEEFF" w:val="clear"/>
            <w:vAlign w:val="center"/>
          </w:tcPr>
          <w:p>
            <w:pPr>
              <w:pStyle w:val="TableContents"/>
              <w:bidi w:val="0"/>
              <w:spacing w:before="0" w:after="1"/>
              <w:ind w:left="0" w:right="0" w:hanging="0"/>
              <w:jc w:val="left"/>
              <w:rPr/>
            </w:pPr>
            <w:r>
              <w:rPr/>
              <w:t> </w:t>
            </w:r>
          </w:p>
        </w:tc>
        <w:tc>
          <w:tcPr>
            <w:tcW w:w="223" w:type="dxa"/>
            <w:tcBorders/>
            <w:shd w:fill="CCEEFF" w:val="clear"/>
            <w:vAlign w:val="center"/>
          </w:tcPr>
          <w:p>
            <w:pPr>
              <w:pStyle w:val="TableContents"/>
              <w:bidi w:val="0"/>
              <w:spacing w:before="0" w:after="1"/>
              <w:ind w:left="0" w:right="0" w:hanging="0"/>
              <w:jc w:val="left"/>
              <w:rPr/>
            </w:pPr>
            <w:r>
              <w:rPr/>
              <w:t>​</w:t>
            </w:r>
          </w:p>
        </w:tc>
        <w:tc>
          <w:tcPr>
            <w:tcW w:w="13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138,900</w:t>
            </w:r>
          </w:p>
        </w:tc>
      </w:tr>
      <w:tr>
        <w:trPr/>
        <w:tc>
          <w:tcPr>
            <w:tcW w:w="64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Loans receivable, net of allowance for credit losses of $2,546,819 at September 30, 2025 and $2,125,993 at December 31, 2024</w:t>
            </w:r>
          </w:p>
        </w:tc>
        <w:tc>
          <w:tcPr>
            <w:tcW w:w="326" w:type="dxa"/>
            <w:tcBorders/>
            <w:vAlign w:val="center"/>
          </w:tcPr>
          <w:p>
            <w:pPr>
              <w:pStyle w:val="TableContents"/>
              <w:bidi w:val="0"/>
              <w:spacing w:before="0" w:after="1"/>
              <w:ind w:left="0" w:right="0" w:hanging="0"/>
              <w:jc w:val="left"/>
              <w:rPr/>
            </w:pPr>
            <w:r>
              <w:rPr/>
              <w:t> </w:t>
            </w:r>
          </w:p>
        </w:tc>
        <w:tc>
          <w:tcPr>
            <w:tcW w:w="241" w:type="dxa"/>
            <w:tcBorders/>
            <w:vAlign w:val="center"/>
          </w:tcPr>
          <w:p>
            <w:pPr>
              <w:pStyle w:val="TableContents"/>
              <w:bidi w:val="0"/>
              <w:spacing w:before="0" w:after="1"/>
              <w:ind w:left="0" w:right="0" w:hanging="0"/>
              <w:jc w:val="left"/>
              <w:rPr/>
            </w:pPr>
            <w:r>
              <w:rPr/>
              <w:t>​</w:t>
            </w:r>
          </w:p>
        </w:tc>
        <w:tc>
          <w:tcPr>
            <w:tcW w:w="13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249,401,082</w:t>
            </w:r>
          </w:p>
        </w:tc>
        <w:tc>
          <w:tcPr>
            <w:tcW w:w="326" w:type="dxa"/>
            <w:tcBorders/>
            <w:vAlign w:val="center"/>
          </w:tcPr>
          <w:p>
            <w:pPr>
              <w:pStyle w:val="TableContents"/>
              <w:bidi w:val="0"/>
              <w:spacing w:before="0" w:after="1"/>
              <w:ind w:left="0" w:right="0" w:hanging="0"/>
              <w:jc w:val="left"/>
              <w:rPr/>
            </w:pPr>
            <w:r>
              <w:rPr/>
              <w:t> </w:t>
            </w:r>
          </w:p>
        </w:tc>
        <w:tc>
          <w:tcPr>
            <w:tcW w:w="223" w:type="dxa"/>
            <w:tcBorders/>
            <w:vAlign w:val="center"/>
          </w:tcPr>
          <w:p>
            <w:pPr>
              <w:pStyle w:val="TableContents"/>
              <w:bidi w:val="0"/>
              <w:spacing w:before="0" w:after="1"/>
              <w:ind w:left="0" w:right="0" w:hanging="0"/>
              <w:jc w:val="left"/>
              <w:rPr/>
            </w:pPr>
            <w:r>
              <w:rPr/>
              <w:t>​</w:t>
            </w:r>
          </w:p>
        </w:tc>
        <w:tc>
          <w:tcPr>
            <w:tcW w:w="13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240,928,137</w:t>
            </w:r>
          </w:p>
        </w:tc>
      </w:tr>
      <w:tr>
        <w:trPr/>
        <w:tc>
          <w:tcPr>
            <w:tcW w:w="6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Premises and equipment, net</w:t>
            </w:r>
          </w:p>
        </w:tc>
        <w:tc>
          <w:tcPr>
            <w:tcW w:w="326" w:type="dxa"/>
            <w:tcBorders/>
            <w:shd w:fill="CCEEFF" w:val="clear"/>
            <w:vAlign w:val="center"/>
          </w:tcPr>
          <w:p>
            <w:pPr>
              <w:pStyle w:val="TableContents"/>
              <w:bidi w:val="0"/>
              <w:spacing w:before="0" w:after="1"/>
              <w:ind w:left="0" w:right="0" w:hanging="0"/>
              <w:jc w:val="left"/>
              <w:rPr/>
            </w:pPr>
            <w:r>
              <w:rPr/>
              <w:t> </w:t>
            </w:r>
          </w:p>
        </w:tc>
        <w:tc>
          <w:tcPr>
            <w:tcW w:w="241" w:type="dxa"/>
            <w:tcBorders/>
            <w:shd w:fill="CCEEFF" w:val="clear"/>
            <w:vAlign w:val="center"/>
          </w:tcPr>
          <w:p>
            <w:pPr>
              <w:pStyle w:val="TableContents"/>
              <w:bidi w:val="0"/>
              <w:spacing w:before="0" w:after="1"/>
              <w:ind w:left="0" w:right="0" w:hanging="0"/>
              <w:jc w:val="left"/>
              <w:rPr/>
            </w:pPr>
            <w:r>
              <w:rPr/>
              <w:t>​</w:t>
            </w:r>
          </w:p>
        </w:tc>
        <w:tc>
          <w:tcPr>
            <w:tcW w:w="13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7,330,738</w:t>
            </w:r>
          </w:p>
        </w:tc>
        <w:tc>
          <w:tcPr>
            <w:tcW w:w="326" w:type="dxa"/>
            <w:tcBorders/>
            <w:shd w:fill="CCEEFF" w:val="clear"/>
            <w:vAlign w:val="center"/>
          </w:tcPr>
          <w:p>
            <w:pPr>
              <w:pStyle w:val="TableContents"/>
              <w:bidi w:val="0"/>
              <w:spacing w:before="0" w:after="1"/>
              <w:ind w:left="0" w:right="0" w:hanging="0"/>
              <w:jc w:val="left"/>
              <w:rPr/>
            </w:pPr>
            <w:r>
              <w:rPr/>
              <w:t> </w:t>
            </w:r>
          </w:p>
        </w:tc>
        <w:tc>
          <w:tcPr>
            <w:tcW w:w="223" w:type="dxa"/>
            <w:tcBorders/>
            <w:shd w:fill="CCEEFF" w:val="clear"/>
            <w:vAlign w:val="center"/>
          </w:tcPr>
          <w:p>
            <w:pPr>
              <w:pStyle w:val="TableContents"/>
              <w:bidi w:val="0"/>
              <w:spacing w:before="0" w:after="1"/>
              <w:ind w:left="0" w:right="0" w:hanging="0"/>
              <w:jc w:val="left"/>
              <w:rPr/>
            </w:pPr>
            <w:r>
              <w:rPr/>
              <w:t>​</w:t>
            </w:r>
          </w:p>
        </w:tc>
        <w:tc>
          <w:tcPr>
            <w:tcW w:w="13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7,749,515</w:t>
            </w:r>
          </w:p>
        </w:tc>
      </w:tr>
      <w:tr>
        <w:trPr/>
        <w:tc>
          <w:tcPr>
            <w:tcW w:w="64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interest receivable</w:t>
            </w:r>
          </w:p>
        </w:tc>
        <w:tc>
          <w:tcPr>
            <w:tcW w:w="326" w:type="dxa"/>
            <w:tcBorders/>
            <w:vAlign w:val="center"/>
          </w:tcPr>
          <w:p>
            <w:pPr>
              <w:pStyle w:val="TableContents"/>
              <w:bidi w:val="0"/>
              <w:spacing w:before="0" w:after="1"/>
              <w:ind w:left="0" w:right="0" w:hanging="0"/>
              <w:jc w:val="left"/>
              <w:rPr/>
            </w:pPr>
            <w:r>
              <w:rPr/>
              <w:t> </w:t>
            </w:r>
          </w:p>
        </w:tc>
        <w:tc>
          <w:tcPr>
            <w:tcW w:w="241" w:type="dxa"/>
            <w:tcBorders/>
            <w:vAlign w:val="center"/>
          </w:tcPr>
          <w:p>
            <w:pPr>
              <w:pStyle w:val="TableContents"/>
              <w:bidi w:val="0"/>
              <w:spacing w:before="0" w:after="1"/>
              <w:ind w:left="0" w:right="0" w:hanging="0"/>
              <w:jc w:val="left"/>
              <w:rPr/>
            </w:pPr>
            <w:r>
              <w:rPr/>
              <w:t>​</w:t>
            </w:r>
          </w:p>
        </w:tc>
        <w:tc>
          <w:tcPr>
            <w:tcW w:w="13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1,393,852</w:t>
            </w:r>
          </w:p>
        </w:tc>
        <w:tc>
          <w:tcPr>
            <w:tcW w:w="326" w:type="dxa"/>
            <w:tcBorders/>
            <w:vAlign w:val="center"/>
          </w:tcPr>
          <w:p>
            <w:pPr>
              <w:pStyle w:val="TableContents"/>
              <w:bidi w:val="0"/>
              <w:spacing w:before="0" w:after="1"/>
              <w:ind w:left="0" w:right="0" w:hanging="0"/>
              <w:jc w:val="left"/>
              <w:rPr/>
            </w:pPr>
            <w:r>
              <w:rPr/>
              <w:t> </w:t>
            </w:r>
          </w:p>
        </w:tc>
        <w:tc>
          <w:tcPr>
            <w:tcW w:w="223" w:type="dxa"/>
            <w:tcBorders/>
            <w:vAlign w:val="center"/>
          </w:tcPr>
          <w:p>
            <w:pPr>
              <w:pStyle w:val="TableContents"/>
              <w:bidi w:val="0"/>
              <w:spacing w:before="0" w:after="1"/>
              <w:ind w:left="0" w:right="0" w:hanging="0"/>
              <w:jc w:val="left"/>
              <w:rPr/>
            </w:pPr>
            <w:r>
              <w:rPr/>
              <w:t>​</w:t>
            </w:r>
          </w:p>
        </w:tc>
        <w:tc>
          <w:tcPr>
            <w:tcW w:w="13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1,481,853</w:t>
            </w:r>
          </w:p>
        </w:tc>
      </w:tr>
      <w:tr>
        <w:trPr/>
        <w:tc>
          <w:tcPr>
            <w:tcW w:w="6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Bank-owned life insurance (BOLI)</w:t>
            </w:r>
          </w:p>
        </w:tc>
        <w:tc>
          <w:tcPr>
            <w:tcW w:w="326" w:type="dxa"/>
            <w:tcBorders/>
            <w:shd w:fill="CCEEFF" w:val="clear"/>
            <w:vAlign w:val="center"/>
          </w:tcPr>
          <w:p>
            <w:pPr>
              <w:pStyle w:val="TableContents"/>
              <w:bidi w:val="0"/>
              <w:spacing w:before="0" w:after="1"/>
              <w:ind w:left="0" w:right="0" w:hanging="0"/>
              <w:jc w:val="left"/>
              <w:rPr/>
            </w:pPr>
            <w:r>
              <w:rPr/>
              <w:t> </w:t>
            </w:r>
          </w:p>
        </w:tc>
        <w:tc>
          <w:tcPr>
            <w:tcW w:w="241" w:type="dxa"/>
            <w:tcBorders/>
            <w:shd w:fill="CCEEFF" w:val="clear"/>
            <w:vAlign w:val="center"/>
          </w:tcPr>
          <w:p>
            <w:pPr>
              <w:pStyle w:val="TableContents"/>
              <w:bidi w:val="0"/>
              <w:spacing w:before="0" w:after="1"/>
              <w:ind w:left="0" w:right="0" w:hanging="0"/>
              <w:jc w:val="left"/>
              <w:rPr/>
            </w:pPr>
            <w:r>
              <w:rPr/>
              <w:t>​</w:t>
            </w:r>
          </w:p>
        </w:tc>
        <w:tc>
          <w:tcPr>
            <w:tcW w:w="13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14,782,934</w:t>
            </w:r>
          </w:p>
        </w:tc>
        <w:tc>
          <w:tcPr>
            <w:tcW w:w="326" w:type="dxa"/>
            <w:tcBorders/>
            <w:shd w:fill="CCEEFF" w:val="clear"/>
            <w:vAlign w:val="center"/>
          </w:tcPr>
          <w:p>
            <w:pPr>
              <w:pStyle w:val="TableContents"/>
              <w:bidi w:val="0"/>
              <w:spacing w:before="0" w:after="1"/>
              <w:ind w:left="0" w:right="0" w:hanging="0"/>
              <w:jc w:val="left"/>
              <w:rPr/>
            </w:pPr>
            <w:r>
              <w:rPr/>
              <w:t> </w:t>
            </w:r>
          </w:p>
        </w:tc>
        <w:tc>
          <w:tcPr>
            <w:tcW w:w="223" w:type="dxa"/>
            <w:tcBorders/>
            <w:shd w:fill="CCEEFF" w:val="clear"/>
            <w:vAlign w:val="center"/>
          </w:tcPr>
          <w:p>
            <w:pPr>
              <w:pStyle w:val="TableContents"/>
              <w:bidi w:val="0"/>
              <w:spacing w:before="0" w:after="1"/>
              <w:ind w:left="0" w:right="0" w:hanging="0"/>
              <w:jc w:val="left"/>
              <w:rPr/>
            </w:pPr>
            <w:r>
              <w:rPr/>
              <w:t>​</w:t>
            </w:r>
          </w:p>
        </w:tc>
        <w:tc>
          <w:tcPr>
            <w:tcW w:w="13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16,990,161</w:t>
            </w:r>
          </w:p>
        </w:tc>
      </w:tr>
      <w:tr>
        <w:trPr/>
        <w:tc>
          <w:tcPr>
            <w:tcW w:w="64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Core deposit intangibles</w:t>
            </w:r>
          </w:p>
        </w:tc>
        <w:tc>
          <w:tcPr>
            <w:tcW w:w="326" w:type="dxa"/>
            <w:tcBorders/>
            <w:vAlign w:val="center"/>
          </w:tcPr>
          <w:p>
            <w:pPr>
              <w:pStyle w:val="TableContents"/>
              <w:bidi w:val="0"/>
              <w:spacing w:before="0" w:after="1"/>
              <w:ind w:left="0" w:right="0" w:hanging="0"/>
              <w:jc w:val="left"/>
              <w:rPr/>
            </w:pPr>
            <w:r>
              <w:rPr/>
              <w:t> </w:t>
            </w:r>
          </w:p>
        </w:tc>
        <w:tc>
          <w:tcPr>
            <w:tcW w:w="241" w:type="dxa"/>
            <w:tcBorders/>
            <w:vAlign w:val="center"/>
          </w:tcPr>
          <w:p>
            <w:pPr>
              <w:pStyle w:val="TableContents"/>
              <w:bidi w:val="0"/>
              <w:spacing w:before="0" w:after="1"/>
              <w:ind w:left="0" w:right="0" w:hanging="0"/>
              <w:jc w:val="left"/>
              <w:rPr/>
            </w:pPr>
            <w:r>
              <w:rPr/>
              <w:t>​</w:t>
            </w:r>
          </w:p>
        </w:tc>
        <w:tc>
          <w:tcPr>
            <w:tcW w:w="13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184,000</w:t>
            </w:r>
          </w:p>
        </w:tc>
        <w:tc>
          <w:tcPr>
            <w:tcW w:w="326" w:type="dxa"/>
            <w:tcBorders/>
            <w:vAlign w:val="center"/>
          </w:tcPr>
          <w:p>
            <w:pPr>
              <w:pStyle w:val="TableContents"/>
              <w:bidi w:val="0"/>
              <w:spacing w:before="0" w:after="1"/>
              <w:ind w:left="0" w:right="0" w:hanging="0"/>
              <w:jc w:val="left"/>
              <w:rPr/>
            </w:pPr>
            <w:r>
              <w:rPr/>
              <w:t> </w:t>
            </w:r>
          </w:p>
        </w:tc>
        <w:tc>
          <w:tcPr>
            <w:tcW w:w="223" w:type="dxa"/>
            <w:tcBorders/>
            <w:vAlign w:val="center"/>
          </w:tcPr>
          <w:p>
            <w:pPr>
              <w:pStyle w:val="TableContents"/>
              <w:bidi w:val="0"/>
              <w:spacing w:before="0" w:after="1"/>
              <w:ind w:left="0" w:right="0" w:hanging="0"/>
              <w:jc w:val="left"/>
              <w:rPr/>
            </w:pPr>
            <w:r>
              <w:rPr/>
              <w:t>​</w:t>
            </w:r>
          </w:p>
        </w:tc>
        <w:tc>
          <w:tcPr>
            <w:tcW w:w="13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322,000</w:t>
            </w:r>
          </w:p>
        </w:tc>
      </w:tr>
      <w:tr>
        <w:trPr/>
        <w:tc>
          <w:tcPr>
            <w:tcW w:w="6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26" w:type="dxa"/>
            <w:tcBorders/>
            <w:shd w:fill="CCEEFF" w:val="clear"/>
            <w:vAlign w:val="center"/>
          </w:tcPr>
          <w:p>
            <w:pPr>
              <w:pStyle w:val="TableContents"/>
              <w:bidi w:val="0"/>
              <w:spacing w:before="0" w:after="1"/>
              <w:ind w:left="0" w:right="0" w:hanging="0"/>
              <w:jc w:val="left"/>
              <w:rPr/>
            </w:pPr>
            <w:r>
              <w:rPr/>
              <w:t> </w:t>
            </w:r>
          </w:p>
        </w:tc>
        <w:tc>
          <w:tcPr>
            <w:tcW w:w="241" w:type="dxa"/>
            <w:tcBorders/>
            <w:shd w:fill="CCEEFF" w:val="clear"/>
            <w:vAlign w:val="center"/>
          </w:tcPr>
          <w:p>
            <w:pPr>
              <w:pStyle w:val="TableContents"/>
              <w:bidi w:val="0"/>
              <w:spacing w:before="0" w:after="1"/>
              <w:ind w:left="0" w:right="0" w:hanging="0"/>
              <w:jc w:val="left"/>
              <w:rPr/>
            </w:pPr>
            <w:r>
              <w:rPr/>
              <w:t>​</w:t>
            </w:r>
          </w:p>
        </w:tc>
        <w:tc>
          <w:tcPr>
            <w:tcW w:w="13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9,198,324</w:t>
            </w:r>
          </w:p>
        </w:tc>
        <w:tc>
          <w:tcPr>
            <w:tcW w:w="326" w:type="dxa"/>
            <w:tcBorders/>
            <w:shd w:fill="CCEEFF" w:val="clear"/>
            <w:vAlign w:val="center"/>
          </w:tcPr>
          <w:p>
            <w:pPr>
              <w:pStyle w:val="TableContents"/>
              <w:bidi w:val="0"/>
              <w:spacing w:before="0" w:after="1"/>
              <w:ind w:left="0" w:right="0" w:hanging="0"/>
              <w:jc w:val="left"/>
              <w:rPr/>
            </w:pPr>
            <w:r>
              <w:rPr/>
              <w:t> </w:t>
            </w:r>
          </w:p>
        </w:tc>
        <w:tc>
          <w:tcPr>
            <w:tcW w:w="223" w:type="dxa"/>
            <w:tcBorders/>
            <w:shd w:fill="CCEEFF" w:val="clear"/>
            <w:vAlign w:val="center"/>
          </w:tcPr>
          <w:p>
            <w:pPr>
              <w:pStyle w:val="TableContents"/>
              <w:bidi w:val="0"/>
              <w:spacing w:before="0" w:after="1"/>
              <w:ind w:left="0" w:right="0" w:hanging="0"/>
              <w:jc w:val="left"/>
              <w:rPr/>
            </w:pPr>
            <w:r>
              <w:rPr/>
              <w:t>​</w:t>
            </w:r>
          </w:p>
        </w:tc>
        <w:tc>
          <w:tcPr>
            <w:tcW w:w="13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10,805,732</w:t>
            </w:r>
          </w:p>
        </w:tc>
      </w:tr>
      <w:tr>
        <w:trPr/>
        <w:tc>
          <w:tcPr>
            <w:tcW w:w="64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Other assets </w:t>
            </w:r>
          </w:p>
        </w:tc>
        <w:tc>
          <w:tcPr>
            <w:tcW w:w="326" w:type="dxa"/>
            <w:tcBorders/>
            <w:vAlign w:val="center"/>
          </w:tcPr>
          <w:p>
            <w:pPr>
              <w:pStyle w:val="TableContents"/>
              <w:bidi w:val="0"/>
              <w:spacing w:before="0" w:after="1"/>
              <w:ind w:left="0" w:right="0" w:hanging="0"/>
              <w:jc w:val="left"/>
              <w:rPr/>
            </w:pPr>
            <w:r>
              <w:rPr/>
              <w:t> </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0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2,994,049</w:t>
            </w:r>
          </w:p>
        </w:tc>
        <w:tc>
          <w:tcPr>
            <w:tcW w:w="326" w:type="dxa"/>
            <w:tcBorders/>
            <w:vAlign w:val="center"/>
          </w:tcPr>
          <w:p>
            <w:pPr>
              <w:pStyle w:val="TableContents"/>
              <w:bidi w:val="0"/>
              <w:spacing w:before="0" w:after="1"/>
              <w:ind w:left="0" w:right="0" w:hanging="0"/>
              <w:jc w:val="left"/>
              <w:rPr/>
            </w:pPr>
            <w:r>
              <w:rPr/>
              <w:t> </w:t>
            </w:r>
          </w:p>
        </w:tc>
        <w:tc>
          <w:tcPr>
            <w:tcW w:w="22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1,685,609</w:t>
            </w:r>
          </w:p>
        </w:tc>
      </w:tr>
      <w:tr>
        <w:trPr/>
        <w:tc>
          <w:tcPr>
            <w:tcW w:w="64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0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454,753,756</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449,513,195</w:t>
            </w:r>
          </w:p>
        </w:tc>
      </w:tr>
      <w:tr>
        <w:trPr/>
        <w:tc>
          <w:tcPr>
            <w:tcW w:w="646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Liabilities and Equity</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1305"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1323" w:type="dxa"/>
            <w:tcBorders/>
            <w:vAlign w:val="center"/>
          </w:tcPr>
          <w:p>
            <w:pPr>
              <w:pStyle w:val="TableContents"/>
              <w:bidi w:val="0"/>
              <w:spacing w:before="0" w:after="1"/>
              <w:ind w:left="0" w:right="0" w:hanging="0"/>
              <w:jc w:val="right"/>
              <w:rPr/>
            </w:pPr>
            <w:r>
              <w:rPr/>
              <w:t>  </w:t>
            </w:r>
          </w:p>
        </w:tc>
      </w:tr>
      <w:tr>
        <w:trPr/>
        <w:tc>
          <w:tcPr>
            <w:tcW w:w="64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1305"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1323" w:type="dxa"/>
            <w:tcBorders/>
            <w:shd w:fill="CCEEFF" w:val="clear"/>
            <w:vAlign w:val="center"/>
          </w:tcPr>
          <w:p>
            <w:pPr>
              <w:pStyle w:val="TableContents"/>
              <w:bidi w:val="0"/>
              <w:spacing w:before="0" w:after="1"/>
              <w:ind w:left="0" w:right="0" w:hanging="0"/>
              <w:jc w:val="right"/>
              <w:rPr/>
            </w:pPr>
            <w:r>
              <w:rPr/>
              <w:t>  </w:t>
            </w:r>
          </w:p>
        </w:tc>
      </w:tr>
      <w:tr>
        <w:trPr/>
        <w:tc>
          <w:tcPr>
            <w:tcW w:w="64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Deposits</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356,820,526</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357,291,930</w:t>
            </w:r>
          </w:p>
        </w:tc>
      </w:tr>
      <w:tr>
        <w:trPr/>
        <w:tc>
          <w:tcPr>
            <w:tcW w:w="6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Advances from borrowers for taxes and insurance</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13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3,733,780</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13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2,753,319</w:t>
            </w:r>
          </w:p>
        </w:tc>
      </w:tr>
      <w:tr>
        <w:trPr/>
        <w:tc>
          <w:tcPr>
            <w:tcW w:w="64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and accrued expenses</w:t>
            </w:r>
          </w:p>
        </w:tc>
        <w:tc>
          <w:tcPr>
            <w:tcW w:w="326" w:type="dxa"/>
            <w:tcBorders/>
            <w:vAlign w:val="center"/>
          </w:tcPr>
          <w:p>
            <w:pPr>
              <w:pStyle w:val="TableContents"/>
              <w:bidi w:val="0"/>
              <w:spacing w:before="0" w:after="1"/>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0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4,050,804</w:t>
            </w:r>
          </w:p>
        </w:tc>
        <w:tc>
          <w:tcPr>
            <w:tcW w:w="326" w:type="dxa"/>
            <w:tcBorders/>
            <w:vAlign w:val="center"/>
          </w:tcPr>
          <w:p>
            <w:pPr>
              <w:pStyle w:val="TableContents"/>
              <w:bidi w:val="0"/>
              <w:spacing w:before="0" w:after="1"/>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3,637,584</w:t>
            </w:r>
          </w:p>
        </w:tc>
      </w:tr>
      <w:tr>
        <w:trPr/>
        <w:tc>
          <w:tcPr>
            <w:tcW w:w="64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13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364,605,110</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13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363,682,833</w:t>
            </w:r>
          </w:p>
        </w:tc>
      </w:tr>
      <w:tr>
        <w:trPr/>
        <w:tc>
          <w:tcPr>
            <w:tcW w:w="64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Equity:</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1305"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1323" w:type="dxa"/>
            <w:tcBorders/>
            <w:vAlign w:val="center"/>
          </w:tcPr>
          <w:p>
            <w:pPr>
              <w:pStyle w:val="TableContents"/>
              <w:bidi w:val="0"/>
              <w:spacing w:before="0" w:after="1"/>
              <w:ind w:left="0" w:right="0" w:hanging="0"/>
              <w:jc w:val="right"/>
              <w:rPr/>
            </w:pPr>
            <w:r>
              <w:rPr/>
              <w:t>  </w:t>
            </w:r>
          </w:p>
        </w:tc>
      </w:tr>
      <w:tr>
        <w:trPr/>
        <w:tc>
          <w:tcPr>
            <w:tcW w:w="6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13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101,752,025</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13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101,720,939</w:t>
            </w:r>
          </w:p>
        </w:tc>
      </w:tr>
      <w:tr>
        <w:trPr/>
        <w:tc>
          <w:tcPr>
            <w:tcW w:w="64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326" w:type="dxa"/>
            <w:tcBorders/>
            <w:vAlign w:val="center"/>
          </w:tcPr>
          <w:p>
            <w:pPr>
              <w:pStyle w:val="TableContents"/>
              <w:bidi w:val="0"/>
              <w:spacing w:before="0" w:after="1"/>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0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(11,603,379)</w:t>
            </w:r>
          </w:p>
        </w:tc>
        <w:tc>
          <w:tcPr>
            <w:tcW w:w="326" w:type="dxa"/>
            <w:tcBorders/>
            <w:vAlign w:val="center"/>
          </w:tcPr>
          <w:p>
            <w:pPr>
              <w:pStyle w:val="TableContents"/>
              <w:bidi w:val="0"/>
              <w:spacing w:before="0" w:after="1"/>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(15,890,577)</w:t>
            </w:r>
          </w:p>
        </w:tc>
      </w:tr>
      <w:tr>
        <w:trPr/>
        <w:tc>
          <w:tcPr>
            <w:tcW w:w="64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equity</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90,148,646</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85,830,362</w:t>
            </w:r>
          </w:p>
        </w:tc>
      </w:tr>
      <w:tr>
        <w:trPr/>
        <w:tc>
          <w:tcPr>
            <w:tcW w:w="64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 and equity</w:t>
            </w:r>
          </w:p>
        </w:tc>
        <w:tc>
          <w:tcPr>
            <w:tcW w:w="326" w:type="dxa"/>
            <w:tcBorders/>
            <w:vAlign w:val="center"/>
          </w:tcPr>
          <w:p>
            <w:pPr>
              <w:pStyle w:val="TableContents"/>
              <w:bidi w:val="0"/>
              <w:spacing w:before="0" w:after="1"/>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0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454,753,756</w:t>
            </w:r>
          </w:p>
        </w:tc>
        <w:tc>
          <w:tcPr>
            <w:tcW w:w="326" w:type="dxa"/>
            <w:tcBorders/>
            <w:vAlign w:val="center"/>
          </w:tcPr>
          <w:p>
            <w:pPr>
              <w:pStyle w:val="TableContents"/>
              <w:bidi w:val="0"/>
              <w:spacing w:before="0" w:after="1"/>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23"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449,513,195</w:t>
            </w:r>
          </w:p>
        </w:tc>
      </w:tr>
    </w:tbl>
    <w:p>
      <w:pPr>
        <w:pStyle w:val="TextBody"/>
        <w:bidi w:val="0"/>
        <w:spacing w:before="0" w:after="240"/>
        <w:ind w:left="0" w:right="0" w:hanging="0"/>
        <w:jc w:val="left"/>
        <w:rPr>
          <w:shd w:fill="FFFF00" w:val="clear"/>
        </w:rPr>
      </w:pPr>
      <w:r>
        <w:rPr>
          <w:shd w:fill="FFFF00" w:val="clea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i/>
          <w:sz w:val="20"/>
        </w:rPr>
        <w:t>The accompanying notes are an integral part of these condensed consolidated financial statements</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20" w:name="_474de73d_a90d_4a82_a84a_2ef109ccf006"/>
      <w:bookmarkEnd w:id="120"/>
      <w:r>
        <w:rPr>
          <w:rFonts w:ascii="Times New Roman;Times;serif" w:hAnsi="Times New Roman;Times;serif"/>
          <w:b/>
          <w:sz w:val="20"/>
        </w:rPr>
        <w:t>HOYNE SAVINGS, MHC AND SUBSIDIARIES</w:t>
      </w:r>
    </w:p>
    <w:p>
      <w:pPr>
        <w:pStyle w:val="TextBody"/>
        <w:bidi w:val="0"/>
        <w:spacing w:before="0" w:after="0"/>
        <w:ind w:left="0" w:right="0" w:hanging="0"/>
        <w:jc w:val="center"/>
        <w:rPr>
          <w:rFonts w:ascii="Times New Roman;Times;serif" w:hAnsi="Times New Roman;Times;serif"/>
          <w:b/>
          <w:sz w:val="20"/>
        </w:rPr>
      </w:pPr>
      <w:bookmarkStart w:id="121" w:name="CONSOLIDATEDSTATEMENTOFOPERATIONS_558742"/>
      <w:bookmarkEnd w:id="121"/>
      <w:r>
        <w:rPr>
          <w:rFonts w:ascii="Times New Roman;Times;serif" w:hAnsi="Times New Roman;Times;serif"/>
          <w:b/>
          <w:sz w:val="20"/>
        </w:rPr>
        <w:t>CONSOLIDATED STATEMENT OF OPERATIONS AND COMPREHENSIVE INCOME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Three and Nine Months Ended September 30, 2025 and 2024</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22" w:name="Tc_c9JkLQ9CaUSuPHgiKAbxvA_32_11"/>
      <w:bookmarkStart w:id="123" w:name="Tc_ajA-wymsL0Coqm6lW_tX1g_32_8"/>
      <w:bookmarkStart w:id="124" w:name="Tc_dAy8-A7IskeYkZoN5SfEXA_32_5"/>
      <w:bookmarkStart w:id="125" w:name="Tc_hdJp1RwqPE2GxPqzEUkJng_32_2"/>
      <w:bookmarkStart w:id="126" w:name="Tc_qEtGT9Y4xEmR1I3yZnYghg_32_0"/>
      <w:bookmarkStart w:id="127" w:name="Tc_MntnJuuidUWx5LKAfCTdVg_31_0"/>
      <w:bookmarkStart w:id="128" w:name="Tc_NfeWjWiF-0WMfjo9pGE40A_30_0"/>
      <w:bookmarkStart w:id="129" w:name="Tc_86J0c_oXu0eWYswFaP5oqg_29_0"/>
      <w:bookmarkStart w:id="130" w:name="Tc_00nxqCa7vU2X94oup1oelw_28_0"/>
      <w:bookmarkStart w:id="131" w:name="Tc_-obaVZIjokSTz_3EkZ0hVg_27_0"/>
      <w:bookmarkStart w:id="132" w:name="Tc_lPvggtwZ8Uaa-06ilxbjXQ_26_0"/>
      <w:bookmarkStart w:id="133" w:name="Tc_809sJRkgjU6PCiF0ZK9OIg_25_0"/>
      <w:bookmarkStart w:id="134" w:name="Tc_D2XNkpQOQkadWs9Gaki7ng_24_0"/>
      <w:bookmarkStart w:id="135" w:name="Tc_AxPRs9caU0eXqahBZG5iNQ_23_0"/>
      <w:bookmarkStart w:id="136" w:name="Tc_XH5yZ8VNWUSQUjy0Masy-g_22_0"/>
      <w:bookmarkStart w:id="137" w:name="Tc_lhLtb1vHxki4oeBtfMWSvw_21_0"/>
      <w:bookmarkStart w:id="138" w:name="Tc_bIaaH5LJ_ECpRYtv2BSMvQ_20_0"/>
      <w:bookmarkStart w:id="139" w:name="Tc_e-1U3FUKR0a_KC-e_uYNjA_19_0"/>
      <w:bookmarkStart w:id="140" w:name="Tc_82YPBX28GUGls0DIOHQGag_18_0"/>
      <w:bookmarkStart w:id="141" w:name="Tc_YdpULqaK5EWiJbgSx22gmQ_17_0"/>
      <w:bookmarkStart w:id="142" w:name="Tc_q6Uwwbrvo0aiVzIj_81G7w_16_0"/>
      <w:bookmarkStart w:id="143" w:name="Tc_fiR2Ggg12Uq5pitWtpst9w_15_9"/>
      <w:bookmarkStart w:id="144" w:name="Tc_VGVDHMgRJkarCbPEqx8MNA_15_6"/>
      <w:bookmarkStart w:id="145" w:name="Tc_qPjFuFghT0yR2o_YVWmzRA_15_3"/>
      <w:bookmarkStart w:id="146" w:name="Tc_etVJxiTlcUuJP1aG5oXRaA_15_0"/>
      <w:bookmarkStart w:id="147" w:name="Tc_3Q8yb9GIuk2Eaj4OerQiuA_14_0"/>
      <w:bookmarkStart w:id="148" w:name="Tc_VPsh8-LtM0Cm47qnz0YZPA_13_0"/>
      <w:bookmarkStart w:id="149" w:name="Tc_KiazuaNXzECDexopDa9Qvg_12_0"/>
      <w:bookmarkStart w:id="150" w:name="Tc_EDjjsY6dl0S5uLCgM5o-zQ_11_0"/>
      <w:bookmarkStart w:id="151" w:name="Tc_2g5pXC1gnEiQ47SZ7HWxzg_10_0"/>
      <w:bookmarkStart w:id="152" w:name="Tc_BDHuSgub_06q4OUH2N7_AQ_9_0"/>
      <w:bookmarkStart w:id="153" w:name="Tc_rFp5wtQHy0yIlrZbIKeTKg_8_0"/>
      <w:bookmarkStart w:id="154" w:name="Tc_YS4Lo2I9e0SOaHW0zI7aCw_7_0"/>
      <w:bookmarkStart w:id="155" w:name="Tc_EZN3-xQme02SonDsi6y-OQ_6_0"/>
      <w:bookmarkStart w:id="156" w:name="Tc_QBUcZ71yW02w8nzn2KjtOg_5_11"/>
      <w:bookmarkStart w:id="157" w:name="Tc_UkFhLp6qy0aMv5hC_XPdvA_5_8"/>
      <w:bookmarkStart w:id="158" w:name="Tc_9BAZG8bBtEW679J5TnsZXg_5_5"/>
      <w:bookmarkStart w:id="159" w:name="Tc_v_nPYgxvJkyG2nSDr9O_Qw_5_2"/>
      <w:bookmarkStart w:id="160" w:name="Tc_SgIayTGiikykN8-GLVhrUA_5_0"/>
      <w:bookmarkStart w:id="161" w:name="Tc_3N9Z83-BtUu0aCHBIzMggw_4_0"/>
      <w:bookmarkStart w:id="162" w:name="Tc_-ImuOoiv50eSGC0lhm4ttw_3_11"/>
      <w:bookmarkStart w:id="163" w:name="Tc_rtipjfTtD0mZazF-MgzwHw_3_8"/>
      <w:bookmarkStart w:id="164" w:name="Tc_WH68b93WrUOjYYjXSxj36A_3_5"/>
      <w:bookmarkStart w:id="165" w:name="Tc_7w4U-7jBHkaSUHIbLvdO4w_3_2"/>
      <w:bookmarkStart w:id="166" w:name="Tc_Vi-BZZwmY0mZqXEqNklYIg_2_11"/>
      <w:bookmarkStart w:id="167" w:name="Tc_H4wCbGVnKEO8NFoKX4us6A_2_8"/>
      <w:bookmarkStart w:id="168" w:name="Tc_eSDlhX1J90qNy0sBcM6Xqw_2_5"/>
      <w:bookmarkStart w:id="169" w:name="Tc_wHcP6Rjw_0OWUwAznbWcJg_2_2"/>
      <w:bookmarkStart w:id="170" w:name="Tc_38GRgV2aekuKATvVm-YvnQ_1_8"/>
      <w:bookmarkStart w:id="171" w:name="Tc_H6oqf6Pab0qXph_tI1b05Q_1_2"/>
      <w:bookmarkStart w:id="172" w:name="_61160ea8_e36c_42fe_a15b_7e649cc4b74b"/>
      <w:bookmarkStart w:id="173" w:name="Tc_c9JkLQ9CaUSuPHgiKAbxvA_32_11"/>
      <w:bookmarkStart w:id="174" w:name="Tc_ajA-wymsL0Coqm6lW_tX1g_32_8"/>
      <w:bookmarkStart w:id="175" w:name="Tc_dAy8-A7IskeYkZoN5SfEXA_32_5"/>
      <w:bookmarkStart w:id="176" w:name="Tc_hdJp1RwqPE2GxPqzEUkJng_32_2"/>
      <w:bookmarkStart w:id="177" w:name="Tc_qEtGT9Y4xEmR1I3yZnYghg_32_0"/>
      <w:bookmarkStart w:id="178" w:name="Tc_MntnJuuidUWx5LKAfCTdVg_31_0"/>
      <w:bookmarkStart w:id="179" w:name="Tc_NfeWjWiF-0WMfjo9pGE40A_30_0"/>
      <w:bookmarkStart w:id="180" w:name="Tc_86J0c_oXu0eWYswFaP5oqg_29_0"/>
      <w:bookmarkStart w:id="181" w:name="Tc_00nxqCa7vU2X94oup1oelw_28_0"/>
      <w:bookmarkStart w:id="182" w:name="Tc_-obaVZIjokSTz_3EkZ0hVg_27_0"/>
      <w:bookmarkStart w:id="183" w:name="Tc_lPvggtwZ8Uaa-06ilxbjXQ_26_0"/>
      <w:bookmarkStart w:id="184" w:name="Tc_809sJRkgjU6PCiF0ZK9OIg_25_0"/>
      <w:bookmarkStart w:id="185" w:name="Tc_D2XNkpQOQkadWs9Gaki7ng_24_0"/>
      <w:bookmarkStart w:id="186" w:name="Tc_AxPRs9caU0eXqahBZG5iNQ_23_0"/>
      <w:bookmarkStart w:id="187" w:name="Tc_XH5yZ8VNWUSQUjy0Masy-g_22_0"/>
      <w:bookmarkStart w:id="188" w:name="Tc_lhLtb1vHxki4oeBtfMWSvw_21_0"/>
      <w:bookmarkStart w:id="189" w:name="Tc_bIaaH5LJ_ECpRYtv2BSMvQ_20_0"/>
      <w:bookmarkStart w:id="190" w:name="Tc_e-1U3FUKR0a_KC-e_uYNjA_19_0"/>
      <w:bookmarkStart w:id="191" w:name="Tc_82YPBX28GUGls0DIOHQGag_18_0"/>
      <w:bookmarkStart w:id="192" w:name="Tc_YdpULqaK5EWiJbgSx22gmQ_17_0"/>
      <w:bookmarkStart w:id="193" w:name="Tc_q6Uwwbrvo0aiVzIj_81G7w_16_0"/>
      <w:bookmarkStart w:id="194" w:name="Tc_fiR2Ggg12Uq5pitWtpst9w_15_9"/>
      <w:bookmarkStart w:id="195" w:name="Tc_VGVDHMgRJkarCbPEqx8MNA_15_6"/>
      <w:bookmarkStart w:id="196" w:name="Tc_qPjFuFghT0yR2o_YVWmzRA_15_3"/>
      <w:bookmarkStart w:id="197" w:name="Tc_etVJxiTlcUuJP1aG5oXRaA_15_0"/>
      <w:bookmarkStart w:id="198" w:name="Tc_3Q8yb9GIuk2Eaj4OerQiuA_14_0"/>
      <w:bookmarkStart w:id="199" w:name="Tc_VPsh8-LtM0Cm47qnz0YZPA_13_0"/>
      <w:bookmarkStart w:id="200" w:name="Tc_KiazuaNXzECDexopDa9Qvg_12_0"/>
      <w:bookmarkStart w:id="201" w:name="Tc_EDjjsY6dl0S5uLCgM5o-zQ_11_0"/>
      <w:bookmarkStart w:id="202" w:name="Tc_2g5pXC1gnEiQ47SZ7HWxzg_10_0"/>
      <w:bookmarkStart w:id="203" w:name="Tc_BDHuSgub_06q4OUH2N7_AQ_9_0"/>
      <w:bookmarkStart w:id="204" w:name="Tc_rFp5wtQHy0yIlrZbIKeTKg_8_0"/>
      <w:bookmarkStart w:id="205" w:name="Tc_YS4Lo2I9e0SOaHW0zI7aCw_7_0"/>
      <w:bookmarkStart w:id="206" w:name="Tc_EZN3-xQme02SonDsi6y-OQ_6_0"/>
      <w:bookmarkStart w:id="207" w:name="Tc_QBUcZ71yW02w8nzn2KjtOg_5_11"/>
      <w:bookmarkStart w:id="208" w:name="Tc_UkFhLp6qy0aMv5hC_XPdvA_5_8"/>
      <w:bookmarkStart w:id="209" w:name="Tc_9BAZG8bBtEW679J5TnsZXg_5_5"/>
      <w:bookmarkStart w:id="210" w:name="Tc_v_nPYgxvJkyG2nSDr9O_Qw_5_2"/>
      <w:bookmarkStart w:id="211" w:name="Tc_SgIayTGiikykN8-GLVhrUA_5_0"/>
      <w:bookmarkStart w:id="212" w:name="Tc_3N9Z83-BtUu0aCHBIzMggw_4_0"/>
      <w:bookmarkStart w:id="213" w:name="Tc_-ImuOoiv50eSGC0lhm4ttw_3_11"/>
      <w:bookmarkStart w:id="214" w:name="Tc_rtipjfTtD0mZazF-MgzwHw_3_8"/>
      <w:bookmarkStart w:id="215" w:name="Tc_WH68b93WrUOjYYjXSxj36A_3_5"/>
      <w:bookmarkStart w:id="216" w:name="Tc_7w4U-7jBHkaSUHIbLvdO4w_3_2"/>
      <w:bookmarkStart w:id="217" w:name="Tc_Vi-BZZwmY0mZqXEqNklYIg_2_11"/>
      <w:bookmarkStart w:id="218" w:name="Tc_H4wCbGVnKEO8NFoKX4us6A_2_8"/>
      <w:bookmarkStart w:id="219" w:name="Tc_eSDlhX1J90qNy0sBcM6Xqw_2_5"/>
      <w:bookmarkStart w:id="220" w:name="Tc_wHcP6Rjw_0OWUwAznbWcJg_2_2"/>
      <w:bookmarkStart w:id="221" w:name="Tc_38GRgV2aekuKATvVm-YvnQ_1_8"/>
      <w:bookmarkStart w:id="222" w:name="Tc_H6oqf6Pab0qXph_tI1b05Q_1_2"/>
      <w:bookmarkStart w:id="223" w:name="_61160ea8_e36c_42fe_a15b_7e649cc4b74b"/>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tbl>
      <w:tblPr>
        <w:tblW w:w="10205" w:type="dxa"/>
        <w:jc w:val="left"/>
        <w:tblInd w:w="0" w:type="dxa"/>
        <w:tblLayout w:type="fixed"/>
        <w:tblCellMar>
          <w:top w:w="0" w:type="dxa"/>
          <w:left w:w="0" w:type="dxa"/>
          <w:bottom w:w="0" w:type="dxa"/>
          <w:right w:w="0" w:type="dxa"/>
        </w:tblCellMar>
      </w:tblPr>
      <w:tblGrid>
        <w:gridCol w:w="3551"/>
        <w:gridCol w:w="326"/>
        <w:gridCol w:w="211"/>
        <w:gridCol w:w="997"/>
        <w:gridCol w:w="326"/>
        <w:gridCol w:w="211"/>
        <w:gridCol w:w="997"/>
        <w:gridCol w:w="326"/>
        <w:gridCol w:w="211"/>
        <w:gridCol w:w="1102"/>
        <w:gridCol w:w="326"/>
        <w:gridCol w:w="211"/>
        <w:gridCol w:w="1037"/>
        <w:gridCol w:w="373"/>
      </w:tblGrid>
      <w:tr>
        <w:trPr/>
        <w:tc>
          <w:tcPr>
            <w:tcW w:w="3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254885" cy="175260"/>
                      <wp:effectExtent l="0" t="0" r="0" b="0"/>
                      <wp:wrapNone/>
                      <wp:docPr id="12" name="Frame11"/>
                      <a:graphic xmlns:a="http://schemas.openxmlformats.org/drawingml/2006/main">
                        <a:graphicData uri="http://schemas.microsoft.com/office/word/2010/wordprocessingShape">
                          <wps:wsp>
                            <wps:cNvSpPr txBox="1"/>
                            <wps:spPr>
                              <a:xfrm>
                                <a:off x="0" y="0"/>
                                <a:ext cx="2254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3"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4"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33095" cy="175260"/>
                      <wp:effectExtent l="0" t="0" r="0" b="0"/>
                      <wp:wrapNone/>
                      <wp:docPr id="15" name="Frame14"/>
                      <a:graphic xmlns:a="http://schemas.openxmlformats.org/drawingml/2006/main">
                        <a:graphicData uri="http://schemas.microsoft.com/office/word/2010/wordprocessingShape">
                          <wps:wsp>
                            <wps:cNvSpPr txBox="1"/>
                            <wps:spPr>
                              <a:xfrm>
                                <a:off x="0" y="0"/>
                                <a:ext cx="633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6"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33095" cy="175260"/>
                      <wp:effectExtent l="0" t="0" r="0" b="0"/>
                      <wp:wrapNone/>
                      <wp:docPr id="18" name="Frame17"/>
                      <a:graphic xmlns:a="http://schemas.openxmlformats.org/drawingml/2006/main">
                        <a:graphicData uri="http://schemas.microsoft.com/office/word/2010/wordprocessingShape">
                          <wps:wsp>
                            <wps:cNvSpPr txBox="1"/>
                            <wps:spPr>
                              <a:xfrm>
                                <a:off x="0" y="0"/>
                                <a:ext cx="633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9"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99770" cy="175260"/>
                      <wp:effectExtent l="0" t="0" r="0" b="0"/>
                      <wp:wrapNone/>
                      <wp:docPr id="21" name="Frame20"/>
                      <a:graphic xmlns:a="http://schemas.openxmlformats.org/drawingml/2006/main">
                        <a:graphicData uri="http://schemas.microsoft.com/office/word/2010/wordprocessingShape">
                          <wps:wsp>
                            <wps:cNvSpPr txBox="1"/>
                            <wps:spPr>
                              <a:xfrm>
                                <a:off x="0" y="0"/>
                                <a:ext cx="699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3"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58495" cy="175260"/>
                      <wp:effectExtent l="0" t="0" r="0" b="0"/>
                      <wp:wrapNone/>
                      <wp:docPr id="24" name="Frame23"/>
                      <a:graphic xmlns:a="http://schemas.openxmlformats.org/drawingml/2006/main">
                        <a:graphicData uri="http://schemas.microsoft.com/office/word/2010/wordprocessingShape">
                          <wps:wsp>
                            <wps:cNvSpPr txBox="1"/>
                            <wps:spPr>
                              <a:xfrm>
                                <a:off x="0" y="0"/>
                                <a:ext cx="658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36855" cy="175260"/>
                      <wp:effectExtent l="0" t="0" r="0" b="0"/>
                      <wp:wrapNone/>
                      <wp:docPr id="25" name="Frame24"/>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4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1"/>
              <w:ind w:left="0" w:right="0" w:hanging="0"/>
              <w:jc w:val="left"/>
              <w:rPr/>
            </w:pPr>
            <w:r>
              <w:rPr/>
              <w:t>​</w:t>
            </w:r>
          </w:p>
        </w:tc>
        <w:tc>
          <w:tcPr>
            <w:tcW w:w="288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c>
          <w:tcPr>
            <w:tcW w:w="373" w:type="dxa"/>
            <w:tcBorders/>
            <w:vAlign w:val="center"/>
          </w:tcPr>
          <w:p>
            <w:pPr>
              <w:pStyle w:val="TableContents"/>
              <w:bidi w:val="0"/>
              <w:spacing w:before="0" w:after="1"/>
              <w:ind w:left="0" w:right="0" w:hanging="0"/>
              <w:jc w:val="left"/>
              <w:rPr/>
            </w:pPr>
            <w:r>
              <w:rPr/>
              <w:t>​</w:t>
            </w:r>
          </w:p>
        </w:tc>
      </w:tr>
      <w:tr>
        <w:trPr/>
        <w:tc>
          <w:tcPr>
            <w:tcW w:w="35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20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120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131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124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73" w:type="dxa"/>
            <w:tcBorders/>
            <w:vAlign w:val="center"/>
          </w:tcPr>
          <w:p>
            <w:pPr>
              <w:pStyle w:val="TableContents"/>
              <w:bidi w:val="0"/>
              <w:spacing w:before="0" w:after="1"/>
              <w:ind w:left="0" w:right="0" w:hanging="0"/>
              <w:jc w:val="center"/>
              <w:rPr/>
            </w:pPr>
            <w:r>
              <w:rPr/>
              <w:t>    </w:t>
            </w:r>
          </w:p>
        </w:tc>
      </w:tr>
      <w:tr>
        <w:trPr/>
        <w:tc>
          <w:tcPr>
            <w:tcW w:w="35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08"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(unaudited)</w:t>
            </w:r>
          </w:p>
        </w:tc>
        <w:tc>
          <w:tcPr>
            <w:tcW w:w="326" w:type="dxa"/>
            <w:tcBorders/>
            <w:vAlign w:val="center"/>
          </w:tcPr>
          <w:p>
            <w:pPr>
              <w:pStyle w:val="TableContents"/>
              <w:bidi w:val="0"/>
              <w:spacing w:before="0" w:after="1"/>
              <w:ind w:left="0" w:right="0" w:hanging="0"/>
              <w:jc w:val="center"/>
              <w:rPr/>
            </w:pPr>
            <w:r>
              <w:rPr/>
              <w:t>​</w:t>
            </w:r>
          </w:p>
        </w:tc>
        <w:tc>
          <w:tcPr>
            <w:tcW w:w="120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vAlign w:val="center"/>
          </w:tcPr>
          <w:p>
            <w:pPr>
              <w:pStyle w:val="TableContents"/>
              <w:bidi w:val="0"/>
              <w:spacing w:before="0" w:after="1"/>
              <w:ind w:left="0" w:right="0" w:hanging="0"/>
              <w:jc w:val="center"/>
              <w:rPr/>
            </w:pPr>
            <w:r>
              <w:rPr/>
              <w:t>​</w:t>
            </w:r>
          </w:p>
        </w:tc>
        <w:tc>
          <w:tcPr>
            <w:tcW w:w="1313"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(unaudited)</w:t>
            </w:r>
          </w:p>
        </w:tc>
        <w:tc>
          <w:tcPr>
            <w:tcW w:w="326" w:type="dxa"/>
            <w:tcBorders/>
            <w:vAlign w:val="center"/>
          </w:tcPr>
          <w:p>
            <w:pPr>
              <w:pStyle w:val="TableContents"/>
              <w:bidi w:val="0"/>
              <w:spacing w:before="0" w:after="1"/>
              <w:ind w:left="0" w:right="0" w:hanging="0"/>
              <w:jc w:val="center"/>
              <w:rPr/>
            </w:pPr>
            <w:r>
              <w:rPr/>
              <w:t>​</w:t>
            </w:r>
          </w:p>
        </w:tc>
        <w:tc>
          <w:tcPr>
            <w:tcW w:w="124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73" w:type="dxa"/>
            <w:tcBorders/>
            <w:vAlign w:val="center"/>
          </w:tcPr>
          <w:p>
            <w:pPr>
              <w:pStyle w:val="TableContents"/>
              <w:bidi w:val="0"/>
              <w:spacing w:before="0" w:after="1"/>
              <w:ind w:left="0" w:right="0" w:hanging="0"/>
              <w:jc w:val="center"/>
              <w:rPr/>
            </w:pPr>
            <w:r>
              <w:rPr/>
              <w:t>​</w:t>
            </w:r>
          </w:p>
        </w:tc>
      </w:tr>
      <w:tr>
        <w:trPr/>
        <w:tc>
          <w:tcPr>
            <w:tcW w:w="355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Interest income:</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997"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997"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1102"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1037" w:type="dxa"/>
            <w:tcBorders/>
            <w:shd w:fill="CCEEFF" w:val="clear"/>
            <w:vAlign w:val="center"/>
          </w:tcPr>
          <w:p>
            <w:pPr>
              <w:pStyle w:val="TableContents"/>
              <w:bidi w:val="0"/>
              <w:spacing w:before="0" w:after="1"/>
              <w:ind w:left="0" w:right="0" w:hanging="0"/>
              <w:jc w:val="center"/>
              <w:rPr/>
            </w:pPr>
            <w:r>
              <w:rPr/>
              <w:t>​</w:t>
            </w:r>
          </w:p>
        </w:tc>
        <w:tc>
          <w:tcPr>
            <w:tcW w:w="373" w:type="dxa"/>
            <w:tcBorders/>
            <w:shd w:fill="CCEEFF" w:val="clear"/>
            <w:vAlign w:val="center"/>
          </w:tcPr>
          <w:p>
            <w:pPr>
              <w:pStyle w:val="TableContents"/>
              <w:bidi w:val="0"/>
              <w:spacing w:before="0" w:after="1"/>
              <w:ind w:left="0" w:right="0" w:hanging="0"/>
              <w:jc w:val="center"/>
              <w:rPr/>
            </w:pPr>
            <w:r>
              <w:rPr/>
              <w:t>​</w:t>
            </w:r>
          </w:p>
        </w:tc>
      </w:tr>
      <w:tr>
        <w:trPr/>
        <w:tc>
          <w:tcPr>
            <w:tcW w:w="3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Loans receivable</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3,991,456</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2,866,854</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11,637,674</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8,082,963</w:t>
            </w:r>
          </w:p>
        </w:tc>
        <w:tc>
          <w:tcPr>
            <w:tcW w:w="373" w:type="dxa"/>
            <w:tcBorders/>
            <w:vAlign w:val="center"/>
          </w:tcPr>
          <w:p>
            <w:pPr>
              <w:pStyle w:val="TableContents"/>
              <w:bidi w:val="0"/>
              <w:spacing w:before="0" w:after="1"/>
              <w:ind w:left="0" w:right="0" w:hanging="0"/>
              <w:jc w:val="center"/>
              <w:rPr/>
            </w:pPr>
            <w:r>
              <w:rPr/>
              <w:t>​</w:t>
            </w:r>
          </w:p>
        </w:tc>
      </w:tr>
      <w:tr>
        <w:trPr/>
        <w:tc>
          <w:tcPr>
            <w:tcW w:w="3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securities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744,852</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989,951</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1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2,371,395</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3,281,376</w:t>
            </w:r>
          </w:p>
        </w:tc>
        <w:tc>
          <w:tcPr>
            <w:tcW w:w="373" w:type="dxa"/>
            <w:tcBorders/>
            <w:shd w:fill="CCEEFF" w:val="clear"/>
            <w:vAlign w:val="center"/>
          </w:tcPr>
          <w:p>
            <w:pPr>
              <w:pStyle w:val="TableContents"/>
              <w:bidi w:val="0"/>
              <w:spacing w:before="0" w:after="1"/>
              <w:ind w:left="0" w:right="0" w:hanging="0"/>
              <w:jc w:val="left"/>
              <w:rPr/>
            </w:pPr>
            <w:r>
              <w:rPr/>
              <w:t> </w:t>
            </w:r>
          </w:p>
        </w:tc>
      </w:tr>
      <w:tr>
        <w:trPr/>
        <w:tc>
          <w:tcPr>
            <w:tcW w:w="3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263,832</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328,563</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0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765,862</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871,657</w:t>
            </w:r>
          </w:p>
        </w:tc>
        <w:tc>
          <w:tcPr>
            <w:tcW w:w="373" w:type="dxa"/>
            <w:tcBorders/>
            <w:vAlign w:val="center"/>
          </w:tcPr>
          <w:p>
            <w:pPr>
              <w:pStyle w:val="TableContents"/>
              <w:bidi w:val="0"/>
              <w:spacing w:before="0" w:after="1"/>
              <w:ind w:left="0" w:right="0" w:hanging="0"/>
              <w:jc w:val="left"/>
              <w:rPr/>
            </w:pPr>
            <w:r>
              <w:rPr/>
              <w:t> </w:t>
            </w:r>
          </w:p>
        </w:tc>
      </w:tr>
      <w:tr>
        <w:trPr/>
        <w:tc>
          <w:tcPr>
            <w:tcW w:w="355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Total interest income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9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5,000,140</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9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4,185,368</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11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14,774,931</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10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12,235,996</w:t>
            </w:r>
          </w:p>
        </w:tc>
        <w:tc>
          <w:tcPr>
            <w:tcW w:w="373" w:type="dxa"/>
            <w:tcBorders/>
            <w:shd w:fill="CCEEFF" w:val="clear"/>
            <w:vAlign w:val="center"/>
          </w:tcPr>
          <w:p>
            <w:pPr>
              <w:pStyle w:val="TableContents"/>
              <w:bidi w:val="0"/>
              <w:spacing w:before="0" w:after="1"/>
              <w:ind w:left="0" w:right="0" w:hanging="0"/>
              <w:jc w:val="left"/>
              <w:rPr/>
            </w:pPr>
            <w:r>
              <w:rPr/>
              <w:t> </w:t>
            </w:r>
          </w:p>
        </w:tc>
      </w:tr>
      <w:tr>
        <w:trPr/>
        <w:tc>
          <w:tcPr>
            <w:tcW w:w="3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deposits</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(1,586,038)</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(1,808,262)</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10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(4,884,185)</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(5,381,631)</w:t>
            </w:r>
          </w:p>
        </w:tc>
        <w:tc>
          <w:tcPr>
            <w:tcW w:w="373" w:type="dxa"/>
            <w:tcBorders/>
            <w:vAlign w:val="center"/>
          </w:tcPr>
          <w:p>
            <w:pPr>
              <w:pStyle w:val="TableContents"/>
              <w:bidi w:val="0"/>
              <w:spacing w:before="0" w:after="1"/>
              <w:ind w:left="0" w:right="0" w:hanging="0"/>
              <w:jc w:val="left"/>
              <w:rPr/>
            </w:pPr>
            <w:r>
              <w:rPr/>
              <w:t> </w:t>
            </w:r>
          </w:p>
        </w:tc>
      </w:tr>
      <w:tr>
        <w:trPr/>
        <w:tc>
          <w:tcPr>
            <w:tcW w:w="355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interest income</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9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3,414,102</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9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2,377,106</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11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9,890,746</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10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6,854,365</w:t>
            </w:r>
          </w:p>
        </w:tc>
        <w:tc>
          <w:tcPr>
            <w:tcW w:w="373" w:type="dxa"/>
            <w:tcBorders/>
            <w:shd w:fill="CCEEFF" w:val="clear"/>
            <w:vAlign w:val="center"/>
          </w:tcPr>
          <w:p>
            <w:pPr>
              <w:pStyle w:val="TableContents"/>
              <w:bidi w:val="0"/>
              <w:spacing w:before="0" w:after="1"/>
              <w:ind w:left="0" w:right="0" w:hanging="0"/>
              <w:jc w:val="left"/>
              <w:rPr/>
            </w:pPr>
            <w:r>
              <w:rPr/>
              <w:t> </w:t>
            </w:r>
          </w:p>
        </w:tc>
      </w:tr>
      <w:tr>
        <w:trPr/>
        <w:tc>
          <w:tcPr>
            <w:tcW w:w="3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credit losses</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(135,000)</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(117,000)</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10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(405,000)</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(351,000)</w:t>
            </w:r>
          </w:p>
        </w:tc>
        <w:tc>
          <w:tcPr>
            <w:tcW w:w="373" w:type="dxa"/>
            <w:tcBorders/>
            <w:vAlign w:val="center"/>
          </w:tcPr>
          <w:p>
            <w:pPr>
              <w:pStyle w:val="TableContents"/>
              <w:bidi w:val="0"/>
              <w:spacing w:before="0" w:after="1"/>
              <w:ind w:left="0" w:right="0" w:hanging="0"/>
              <w:jc w:val="left"/>
              <w:rPr/>
            </w:pPr>
            <w:r>
              <w:rPr/>
              <w:t> </w:t>
            </w:r>
          </w:p>
        </w:tc>
      </w:tr>
      <w:tr>
        <w:trPr/>
        <w:tc>
          <w:tcPr>
            <w:tcW w:w="355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interest income after provision for credit losses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9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3,279,102</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9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2,260,106</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11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9,485,746</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10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6,503,365</w:t>
            </w:r>
          </w:p>
        </w:tc>
        <w:tc>
          <w:tcPr>
            <w:tcW w:w="373" w:type="dxa"/>
            <w:tcBorders/>
            <w:shd w:fill="CCEEFF" w:val="clear"/>
            <w:vAlign w:val="center"/>
          </w:tcPr>
          <w:p>
            <w:pPr>
              <w:pStyle w:val="TableContents"/>
              <w:bidi w:val="0"/>
              <w:spacing w:before="0" w:after="1"/>
              <w:ind w:left="0" w:right="0" w:hanging="0"/>
              <w:jc w:val="left"/>
              <w:rPr/>
            </w:pPr>
            <w:r>
              <w:rPr/>
              <w:t> </w:t>
            </w:r>
          </w:p>
        </w:tc>
      </w:tr>
      <w:tr>
        <w:trPr/>
        <w:tc>
          <w:tcPr>
            <w:tcW w:w="355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Noninterest income:</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99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99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1102"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1037" w:type="dxa"/>
            <w:tcBorders/>
            <w:vAlign w:val="center"/>
          </w:tcPr>
          <w:p>
            <w:pPr>
              <w:pStyle w:val="TableContents"/>
              <w:bidi w:val="0"/>
              <w:spacing w:before="0" w:after="1"/>
              <w:ind w:left="0" w:right="0" w:hanging="0"/>
              <w:jc w:val="right"/>
              <w:rPr/>
            </w:pPr>
            <w:r>
              <w:rPr/>
              <w:t>  </w:t>
            </w:r>
          </w:p>
        </w:tc>
        <w:tc>
          <w:tcPr>
            <w:tcW w:w="373" w:type="dxa"/>
            <w:tcBorders/>
            <w:vAlign w:val="center"/>
          </w:tcPr>
          <w:p>
            <w:pPr>
              <w:pStyle w:val="TableContents"/>
              <w:bidi w:val="0"/>
              <w:spacing w:before="0" w:after="1"/>
              <w:ind w:left="0" w:right="0" w:hanging="0"/>
              <w:jc w:val="left"/>
              <w:rPr/>
            </w:pPr>
            <w:r>
              <w:rPr/>
              <w:t> </w:t>
            </w:r>
          </w:p>
        </w:tc>
      </w:tr>
      <w:tr>
        <w:trPr/>
        <w:tc>
          <w:tcPr>
            <w:tcW w:w="3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service fees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9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51,741</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9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55,970</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11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127,000</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10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192,331</w:t>
            </w:r>
          </w:p>
        </w:tc>
        <w:tc>
          <w:tcPr>
            <w:tcW w:w="373" w:type="dxa"/>
            <w:tcBorders/>
            <w:shd w:fill="CCEEFF" w:val="clear"/>
            <w:vAlign w:val="center"/>
          </w:tcPr>
          <w:p>
            <w:pPr>
              <w:pStyle w:val="TableContents"/>
              <w:bidi w:val="0"/>
              <w:spacing w:before="0" w:after="1"/>
              <w:ind w:left="0" w:right="0" w:hanging="0"/>
              <w:jc w:val="left"/>
              <w:rPr/>
            </w:pPr>
            <w:r>
              <w:rPr/>
              <w:t> </w:t>
            </w:r>
          </w:p>
        </w:tc>
      </w:tr>
      <w:tr>
        <w:trPr/>
        <w:tc>
          <w:tcPr>
            <w:tcW w:w="3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sale of REO</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99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99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110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10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118,750</w:t>
            </w:r>
          </w:p>
        </w:tc>
        <w:tc>
          <w:tcPr>
            <w:tcW w:w="373" w:type="dxa"/>
            <w:tcBorders/>
            <w:vAlign w:val="center"/>
          </w:tcPr>
          <w:p>
            <w:pPr>
              <w:pStyle w:val="TableContents"/>
              <w:bidi w:val="0"/>
              <w:spacing w:before="0" w:after="1"/>
              <w:ind w:left="0" w:right="0" w:hanging="0"/>
              <w:jc w:val="left"/>
              <w:rPr/>
            </w:pPr>
            <w:r>
              <w:rPr/>
              <w:t> </w:t>
            </w:r>
          </w:p>
        </w:tc>
      </w:tr>
      <w:tr>
        <w:trPr/>
        <w:tc>
          <w:tcPr>
            <w:tcW w:w="3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180,628</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226,143</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1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521,376</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454,279</w:t>
            </w:r>
          </w:p>
        </w:tc>
        <w:tc>
          <w:tcPr>
            <w:tcW w:w="373" w:type="dxa"/>
            <w:tcBorders/>
            <w:shd w:fill="CCEEFF" w:val="clear"/>
            <w:vAlign w:val="center"/>
          </w:tcPr>
          <w:p>
            <w:pPr>
              <w:pStyle w:val="TableContents"/>
              <w:bidi w:val="0"/>
              <w:spacing w:before="0" w:after="1"/>
              <w:ind w:left="0" w:right="0" w:hanging="0"/>
              <w:jc w:val="left"/>
              <w:rPr/>
            </w:pPr>
            <w:r>
              <w:rPr/>
              <w:t> </w:t>
            </w:r>
          </w:p>
        </w:tc>
      </w:tr>
      <w:tr>
        <w:trPr/>
        <w:tc>
          <w:tcPr>
            <w:tcW w:w="355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Total noninterest income </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232,369</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282,113</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10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648,376</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765,360</w:t>
            </w:r>
          </w:p>
        </w:tc>
        <w:tc>
          <w:tcPr>
            <w:tcW w:w="373" w:type="dxa"/>
            <w:tcBorders/>
            <w:vAlign w:val="center"/>
          </w:tcPr>
          <w:p>
            <w:pPr>
              <w:pStyle w:val="TableContents"/>
              <w:bidi w:val="0"/>
              <w:spacing w:before="0" w:after="1"/>
              <w:ind w:left="0" w:right="0" w:hanging="0"/>
              <w:jc w:val="left"/>
              <w:rPr/>
            </w:pPr>
            <w:r>
              <w:rPr/>
              <w:t> </w:t>
            </w:r>
          </w:p>
        </w:tc>
      </w:tr>
      <w:tr>
        <w:trPr/>
        <w:tc>
          <w:tcPr>
            <w:tcW w:w="355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Noninterest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99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99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1102"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1037" w:type="dxa"/>
            <w:tcBorders/>
            <w:shd w:fill="CCEEFF" w:val="clear"/>
            <w:vAlign w:val="center"/>
          </w:tcPr>
          <w:p>
            <w:pPr>
              <w:pStyle w:val="TableContents"/>
              <w:bidi w:val="0"/>
              <w:spacing w:before="0" w:after="1"/>
              <w:ind w:left="0" w:right="0" w:hanging="0"/>
              <w:jc w:val="right"/>
              <w:rPr/>
            </w:pPr>
            <w:r>
              <w:rPr/>
              <w:t>  </w:t>
            </w:r>
          </w:p>
        </w:tc>
        <w:tc>
          <w:tcPr>
            <w:tcW w:w="373" w:type="dxa"/>
            <w:tcBorders/>
            <w:shd w:fill="CCEEFF" w:val="clear"/>
            <w:vAlign w:val="center"/>
          </w:tcPr>
          <w:p>
            <w:pPr>
              <w:pStyle w:val="TableContents"/>
              <w:bidi w:val="0"/>
              <w:spacing w:before="0" w:after="1"/>
              <w:ind w:left="0" w:right="0" w:hanging="0"/>
              <w:jc w:val="left"/>
              <w:rPr/>
            </w:pPr>
            <w:r>
              <w:rPr/>
              <w:t> </w:t>
            </w:r>
          </w:p>
        </w:tc>
      </w:tr>
      <w:tr>
        <w:trPr/>
        <w:tc>
          <w:tcPr>
            <w:tcW w:w="3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Compensation</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9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(1,711,066)</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9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(1,748,645)</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11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(5,184,466)</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10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(5,476,465)</w:t>
            </w:r>
          </w:p>
        </w:tc>
        <w:tc>
          <w:tcPr>
            <w:tcW w:w="373" w:type="dxa"/>
            <w:tcBorders/>
            <w:vAlign w:val="center"/>
          </w:tcPr>
          <w:p>
            <w:pPr>
              <w:pStyle w:val="TableContents"/>
              <w:bidi w:val="0"/>
              <w:spacing w:before="0" w:after="1"/>
              <w:ind w:left="0" w:right="0" w:hanging="0"/>
              <w:jc w:val="left"/>
              <w:rPr/>
            </w:pPr>
            <w:r>
              <w:rPr/>
              <w:t> </w:t>
            </w:r>
          </w:p>
        </w:tc>
      </w:tr>
      <w:tr>
        <w:trPr/>
        <w:tc>
          <w:tcPr>
            <w:tcW w:w="3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Occupancy</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9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(494,260)</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9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(561,054)</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11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(1,601,861)</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10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(1,623,990)</w:t>
            </w:r>
          </w:p>
        </w:tc>
        <w:tc>
          <w:tcPr>
            <w:tcW w:w="373" w:type="dxa"/>
            <w:tcBorders/>
            <w:shd w:fill="CCEEFF" w:val="clear"/>
            <w:vAlign w:val="center"/>
          </w:tcPr>
          <w:p>
            <w:pPr>
              <w:pStyle w:val="TableContents"/>
              <w:bidi w:val="0"/>
              <w:spacing w:before="0" w:after="1"/>
              <w:ind w:left="0" w:right="0" w:hanging="0"/>
              <w:jc w:val="left"/>
              <w:rPr/>
            </w:pPr>
            <w:r>
              <w:rPr/>
              <w:t> </w:t>
            </w:r>
          </w:p>
        </w:tc>
      </w:tr>
      <w:tr>
        <w:trPr/>
        <w:tc>
          <w:tcPr>
            <w:tcW w:w="3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Advertising</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9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(24,562)</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9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(17,568)</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11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(61,885)</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10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(37,669)</w:t>
            </w:r>
          </w:p>
        </w:tc>
        <w:tc>
          <w:tcPr>
            <w:tcW w:w="373" w:type="dxa"/>
            <w:tcBorders/>
            <w:vAlign w:val="center"/>
          </w:tcPr>
          <w:p>
            <w:pPr>
              <w:pStyle w:val="TableContents"/>
              <w:bidi w:val="0"/>
              <w:spacing w:before="0" w:after="1"/>
              <w:ind w:left="0" w:right="0" w:hanging="0"/>
              <w:jc w:val="left"/>
              <w:rPr/>
            </w:pPr>
            <w:r>
              <w:rPr/>
              <w:t> </w:t>
            </w:r>
          </w:p>
        </w:tc>
      </w:tr>
      <w:tr>
        <w:trPr/>
        <w:tc>
          <w:tcPr>
            <w:tcW w:w="3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core deposit intangible</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9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(46,000)</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9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(46,000)</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11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(138,000)</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10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(138,000)</w:t>
            </w:r>
          </w:p>
        </w:tc>
        <w:tc>
          <w:tcPr>
            <w:tcW w:w="373" w:type="dxa"/>
            <w:tcBorders/>
            <w:shd w:fill="CCEEFF" w:val="clear"/>
            <w:vAlign w:val="center"/>
          </w:tcPr>
          <w:p>
            <w:pPr>
              <w:pStyle w:val="TableContents"/>
              <w:bidi w:val="0"/>
              <w:spacing w:before="0" w:after="1"/>
              <w:ind w:left="0" w:right="0" w:hanging="0"/>
              <w:jc w:val="left"/>
              <w:rPr/>
            </w:pPr>
            <w:r>
              <w:rPr/>
              <w:t> </w:t>
            </w:r>
          </w:p>
        </w:tc>
      </w:tr>
      <w:tr>
        <w:trPr/>
        <w:tc>
          <w:tcPr>
            <w:tcW w:w="3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(1,140,009)</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(812,884)</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10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(3,104,433)</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(2,316,610)</w:t>
            </w:r>
          </w:p>
        </w:tc>
        <w:tc>
          <w:tcPr>
            <w:tcW w:w="373" w:type="dxa"/>
            <w:tcBorders/>
            <w:vAlign w:val="center"/>
          </w:tcPr>
          <w:p>
            <w:pPr>
              <w:pStyle w:val="TableContents"/>
              <w:bidi w:val="0"/>
              <w:spacing w:before="0" w:after="1"/>
              <w:ind w:left="0" w:right="0" w:hanging="0"/>
              <w:jc w:val="left"/>
              <w:rPr/>
            </w:pPr>
            <w:r>
              <w:rPr/>
              <w:t> </w:t>
            </w:r>
          </w:p>
        </w:tc>
      </w:tr>
      <w:tr>
        <w:trPr/>
        <w:tc>
          <w:tcPr>
            <w:tcW w:w="355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noninterest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(3,415,897)</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(3,186,151)</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1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(10,090,645)</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(9,592,734)</w:t>
            </w:r>
          </w:p>
        </w:tc>
        <w:tc>
          <w:tcPr>
            <w:tcW w:w="373" w:type="dxa"/>
            <w:tcBorders/>
            <w:shd w:fill="CCEEFF" w:val="clear"/>
            <w:vAlign w:val="center"/>
          </w:tcPr>
          <w:p>
            <w:pPr>
              <w:pStyle w:val="TableContents"/>
              <w:bidi w:val="0"/>
              <w:spacing w:before="0" w:after="1"/>
              <w:ind w:left="0" w:right="0" w:hanging="0"/>
              <w:jc w:val="left"/>
              <w:rPr/>
            </w:pPr>
            <w:r>
              <w:rPr/>
              <w:t> </w:t>
            </w:r>
          </w:p>
        </w:tc>
      </w:tr>
      <w:tr>
        <w:trPr/>
        <w:tc>
          <w:tcPr>
            <w:tcW w:w="355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Income (Loss) before income taxes</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95,574</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(643,932)</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10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43,477</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(2,324,009)</w:t>
            </w:r>
          </w:p>
        </w:tc>
        <w:tc>
          <w:tcPr>
            <w:tcW w:w="373" w:type="dxa"/>
            <w:tcBorders/>
            <w:vAlign w:val="center"/>
          </w:tcPr>
          <w:p>
            <w:pPr>
              <w:pStyle w:val="TableContents"/>
              <w:bidi w:val="0"/>
              <w:spacing w:before="0" w:after="1"/>
              <w:ind w:left="0" w:right="0" w:hanging="0"/>
              <w:jc w:val="left"/>
              <w:rPr/>
            </w:pPr>
            <w:r>
              <w:rPr/>
              <w:t> </w:t>
            </w:r>
          </w:p>
        </w:tc>
      </w:tr>
      <w:tr>
        <w:trPr/>
        <w:tc>
          <w:tcPr>
            <w:tcW w:w="355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Tax expense (benefit):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99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99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1102"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1037" w:type="dxa"/>
            <w:tcBorders/>
            <w:shd w:fill="CCEEFF" w:val="clear"/>
            <w:vAlign w:val="center"/>
          </w:tcPr>
          <w:p>
            <w:pPr>
              <w:pStyle w:val="TableContents"/>
              <w:bidi w:val="0"/>
              <w:spacing w:before="0" w:after="1"/>
              <w:ind w:left="0" w:right="0" w:hanging="0"/>
              <w:jc w:val="right"/>
              <w:rPr/>
            </w:pPr>
            <w:r>
              <w:rPr/>
              <w:t>  </w:t>
            </w:r>
          </w:p>
        </w:tc>
        <w:tc>
          <w:tcPr>
            <w:tcW w:w="373" w:type="dxa"/>
            <w:tcBorders/>
            <w:shd w:fill="CCEEFF" w:val="clear"/>
            <w:vAlign w:val="center"/>
          </w:tcPr>
          <w:p>
            <w:pPr>
              <w:pStyle w:val="TableContents"/>
              <w:bidi w:val="0"/>
              <w:spacing w:before="0" w:after="1"/>
              <w:ind w:left="0" w:right="0" w:hanging="0"/>
              <w:jc w:val="left"/>
              <w:rPr/>
            </w:pPr>
            <w:r>
              <w:rPr/>
              <w:t> </w:t>
            </w:r>
          </w:p>
        </w:tc>
      </w:tr>
      <w:tr>
        <w:trPr/>
        <w:tc>
          <w:tcPr>
            <w:tcW w:w="3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Expense (benefit)</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25,511</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(246,634)</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10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12,391</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(788,081)</w:t>
            </w:r>
          </w:p>
        </w:tc>
        <w:tc>
          <w:tcPr>
            <w:tcW w:w="373" w:type="dxa"/>
            <w:tcBorders/>
            <w:vAlign w:val="center"/>
          </w:tcPr>
          <w:p>
            <w:pPr>
              <w:pStyle w:val="TableContents"/>
              <w:bidi w:val="0"/>
              <w:spacing w:before="0" w:after="1"/>
              <w:ind w:left="0" w:right="0" w:hanging="0"/>
              <w:jc w:val="left"/>
              <w:rPr/>
            </w:pPr>
            <w:r>
              <w:rPr/>
              <w:t> </w:t>
            </w:r>
          </w:p>
        </w:tc>
      </w:tr>
      <w:tr>
        <w:trPr/>
        <w:tc>
          <w:tcPr>
            <w:tcW w:w="355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 (loss)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9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70,063</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9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(397,298)</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11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31,086</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10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(1,535,928)</w:t>
            </w:r>
          </w:p>
        </w:tc>
        <w:tc>
          <w:tcPr>
            <w:tcW w:w="373" w:type="dxa"/>
            <w:tcBorders/>
            <w:shd w:fill="CCEEFF" w:val="clear"/>
            <w:vAlign w:val="center"/>
          </w:tcPr>
          <w:p>
            <w:pPr>
              <w:pStyle w:val="TableContents"/>
              <w:bidi w:val="0"/>
              <w:spacing w:before="0" w:after="1"/>
              <w:ind w:left="0" w:right="0" w:hanging="0"/>
              <w:jc w:val="left"/>
              <w:rPr/>
            </w:pPr>
            <w:r>
              <w:rPr/>
              <w:t> </w:t>
            </w:r>
          </w:p>
        </w:tc>
      </w:tr>
      <w:tr>
        <w:trPr/>
        <w:tc>
          <w:tcPr>
            <w:tcW w:w="355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comprehensive income (loss):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99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99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110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1037" w:type="dxa"/>
            <w:tcBorders/>
            <w:vAlign w:val="center"/>
          </w:tcPr>
          <w:p>
            <w:pPr>
              <w:pStyle w:val="TableContents"/>
              <w:bidi w:val="0"/>
              <w:spacing w:before="0" w:after="1"/>
              <w:ind w:left="0" w:right="0" w:hanging="0"/>
              <w:jc w:val="right"/>
              <w:rPr/>
            </w:pPr>
            <w:r>
              <w:rPr/>
              <w:t>​</w:t>
            </w:r>
          </w:p>
        </w:tc>
        <w:tc>
          <w:tcPr>
            <w:tcW w:w="373" w:type="dxa"/>
            <w:tcBorders/>
            <w:vAlign w:val="center"/>
          </w:tcPr>
          <w:p>
            <w:pPr>
              <w:pStyle w:val="TableContents"/>
              <w:bidi w:val="0"/>
              <w:spacing w:before="0" w:after="1"/>
              <w:ind w:left="0" w:right="0" w:hanging="0"/>
              <w:jc w:val="left"/>
              <w:rPr/>
            </w:pPr>
            <w:r>
              <w:rPr/>
              <w:t>​</w:t>
            </w:r>
          </w:p>
        </w:tc>
      </w:tr>
      <w:tr>
        <w:trPr/>
        <w:tc>
          <w:tcPr>
            <w:tcW w:w="3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gain (loss) on securities available-for-sale, net of income tax (benefit) of $468,897 and $1,226,241 in the three months ended September 30, 2025 and 2024 and $1,709,302 and $900,575 in the nine months ended September 30, 2025 and 2024</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1,176,067</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3,076,358</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1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4,287,198</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2,258,783</w:t>
            </w:r>
          </w:p>
        </w:tc>
        <w:tc>
          <w:tcPr>
            <w:tcW w:w="373" w:type="dxa"/>
            <w:tcBorders/>
            <w:shd w:fill="CCEEFF" w:val="clear"/>
            <w:vAlign w:val="center"/>
          </w:tcPr>
          <w:p>
            <w:pPr>
              <w:pStyle w:val="TableContents"/>
              <w:bidi w:val="0"/>
              <w:spacing w:before="0" w:after="1"/>
              <w:ind w:left="0" w:right="0" w:hanging="0"/>
              <w:jc w:val="left"/>
              <w:rPr/>
            </w:pPr>
            <w:r>
              <w:rPr/>
              <w:t> </w:t>
            </w:r>
          </w:p>
        </w:tc>
      </w:tr>
      <w:tr>
        <w:trPr/>
        <w:tc>
          <w:tcPr>
            <w:tcW w:w="355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other comprehensive income</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1,176,067</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3,076,358</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10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4,287,198</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2,258,783</w:t>
            </w:r>
          </w:p>
        </w:tc>
        <w:tc>
          <w:tcPr>
            <w:tcW w:w="373" w:type="dxa"/>
            <w:tcBorders/>
            <w:vAlign w:val="center"/>
          </w:tcPr>
          <w:p>
            <w:pPr>
              <w:pStyle w:val="TableContents"/>
              <w:bidi w:val="0"/>
              <w:spacing w:before="0" w:after="1"/>
              <w:ind w:left="0" w:right="0" w:hanging="0"/>
              <w:jc w:val="left"/>
              <w:rPr/>
            </w:pPr>
            <w:r>
              <w:rPr/>
              <w:t> </w:t>
            </w:r>
          </w:p>
        </w:tc>
      </w:tr>
      <w:tr>
        <w:trPr/>
        <w:tc>
          <w:tcPr>
            <w:tcW w:w="355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Comprehensive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1,246,130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2,679,060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4,318,284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722,855</w:t>
            </w:r>
          </w:p>
        </w:tc>
        <w:tc>
          <w:tcPr>
            <w:tcW w:w="373"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shd w:fill="FFFF00" w:val="clear"/>
        </w:rPr>
      </w:pPr>
      <w:r>
        <w:rPr>
          <w:shd w:fill="FFFF00" w:val="clea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i/>
          <w:sz w:val="20"/>
        </w:rPr>
        <w:t>The accompanying notes are an integral part of these condensed consolidated financial statements</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24" w:name="_be810a2b_a1b6_4bd2_abf0_48abef92db57"/>
      <w:bookmarkEnd w:id="224"/>
      <w:r>
        <w:rPr>
          <w:rFonts w:ascii="Times New Roman;Times;serif" w:hAnsi="Times New Roman;Times;serif"/>
          <w:b/>
          <w:sz w:val="20"/>
        </w:rPr>
        <w:t>HOYNE SAVINGS, MHC AND SUBSIDIARIES</w:t>
      </w:r>
    </w:p>
    <w:p>
      <w:pPr>
        <w:pStyle w:val="TextBody"/>
        <w:bidi w:val="0"/>
        <w:spacing w:before="0" w:after="0"/>
        <w:ind w:left="0" w:right="0" w:hanging="0"/>
        <w:jc w:val="center"/>
        <w:rPr>
          <w:rFonts w:ascii="Times New Roman;Times;serif" w:hAnsi="Times New Roman;Times;serif"/>
          <w:b/>
          <w:sz w:val="20"/>
        </w:rPr>
      </w:pPr>
      <w:bookmarkStart w:id="225" w:name="STATEMENTOFEQUITY_882285"/>
      <w:bookmarkEnd w:id="225"/>
      <w:r>
        <w:rPr>
          <w:rFonts w:ascii="Times New Roman;Times;serif" w:hAnsi="Times New Roman;Times;serif"/>
          <w:b/>
          <w:sz w:val="20"/>
        </w:rPr>
        <w:t>CONSOLIDATED STATEMENT OF CHANGES IN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Three and Nine Months Ended September 30, 2025 and 2024</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26" w:name="Tc_OKgnSrcKQ0abYuiR6pgLJw_32_0"/>
      <w:bookmarkStart w:id="227" w:name="Tc_8dBl58qyWkyjoBr03-C8uA_31_0"/>
      <w:bookmarkStart w:id="228" w:name="Tc_CYCh215jNU2QkuXwqhBUgQ_30_0"/>
      <w:bookmarkStart w:id="229" w:name="Tc_uX6SKjAMl0G6d9Em6QndgQ_29_0"/>
      <w:bookmarkStart w:id="230" w:name="Tc_dG0PtBC9CkaUyqmeuKF1zA_28_2"/>
      <w:bookmarkStart w:id="231" w:name="Tc_YYChVmm3kkSEyo2QU0RZgw_26_0"/>
      <w:bookmarkStart w:id="232" w:name="Tc_IpeDfEXgEEKxgJIPb6Eo_w_25_0"/>
      <w:bookmarkStart w:id="233" w:name="Tc_Shx4uig9nkiman4VTarP9g_24_0"/>
      <w:bookmarkStart w:id="234" w:name="Tc_TrsfMA5TV0C2ULDbX-qFCA_23_8"/>
      <w:bookmarkStart w:id="235" w:name="Tc_sO6rEelIiEOIaytLNiww7g_23_5"/>
      <w:bookmarkStart w:id="236" w:name="Tc_xycZos5scE-MPuyyINqAvg_23_2"/>
      <w:bookmarkStart w:id="237" w:name="Tc_aX0YpzL1DE-sN5OKbTFvmQ_23_0"/>
      <w:bookmarkStart w:id="238" w:name="Tc_DY5DO0wM5kyGQJolwSyWwQ_22_2"/>
      <w:bookmarkStart w:id="239" w:name="Tc_WSpIM7SGfEuta9E_DBFHhQ_21_8"/>
      <w:bookmarkStart w:id="240" w:name="Tc_ZQFgPGYxqkGSJV6F2jcJxA_21_5"/>
      <w:bookmarkStart w:id="241" w:name="Tc_5nyWSMfgpU6s_ueJZuVegw_21_2"/>
      <w:bookmarkStart w:id="242" w:name="Tc_a48RArnZD0i0I658iXjD3g_20_5"/>
      <w:bookmarkStart w:id="243" w:name="Tc_9kqHVuY1i0y2aTWUseHusA_20_2"/>
      <w:bookmarkStart w:id="244" w:name="Tc_AdPgPpnr3UmYpko8VvRrPA_19_5"/>
      <w:bookmarkStart w:id="245" w:name="Tc_H3qm-bVy9E2HMG5MSMUeoA_18_5"/>
      <w:bookmarkStart w:id="246" w:name="Tc_Vp8d1eXTWUCd69XVRPrvzw_15_0"/>
      <w:bookmarkStart w:id="247" w:name="Tc_nY6xf5GtREGzzduGu2LaxQ_14_0"/>
      <w:bookmarkStart w:id="248" w:name="Tc_bfm8KqpMok6nvtN6PDiNKQ_13_0"/>
      <w:bookmarkStart w:id="249" w:name="Tc_1g7RhGO2uEmZ5MlGQJ_z5g_12_0"/>
      <w:bookmarkStart w:id="250" w:name="Tc_6GtlEC2IJUWmIacN8R90bA_11_2"/>
      <w:bookmarkStart w:id="251" w:name="Tc_brjxawvjo0CyvTQTJMsFeg_9_0"/>
      <w:bookmarkStart w:id="252" w:name="Tc_in9alDK3MUuZyQsrBifqlA_8_0"/>
      <w:bookmarkStart w:id="253" w:name="Tc_3QPxrOQlXU6z_wKAu_N8bA_7_0"/>
      <w:bookmarkStart w:id="254" w:name="Tc_ikkG1OYo8U2EDx1A46un0g_6_8"/>
      <w:bookmarkStart w:id="255" w:name="Tc_kEWfHcWOP061ChYPqf9WkA_6_5"/>
      <w:bookmarkStart w:id="256" w:name="Tc_XO4CoJjEnkiyoeljklhFeQ_6_2"/>
      <w:bookmarkStart w:id="257" w:name="Tc_8u0p2jnoakiW0xBxYDj6Zg_6_0"/>
      <w:bookmarkStart w:id="258" w:name="Tc_6KPWSy__Uk-7_oUeNSqr6g_5_2"/>
      <w:bookmarkStart w:id="259" w:name="Tc_IY-FQpyItkKaAxG3F36ZpQ_4_8"/>
      <w:bookmarkStart w:id="260" w:name="Tc_mt5-UdSfSkCWBr8dSjxfmg_4_5"/>
      <w:bookmarkStart w:id="261" w:name="Tc_aPSNAqiQBkCJ84QdPGFUMQ_4_2"/>
      <w:bookmarkStart w:id="262" w:name="Tc_OQ-id3wEZkywguKyWZ3xJQ_3_5"/>
      <w:bookmarkStart w:id="263" w:name="Tc_Yfh0hC-3U0SoCX3AbwpoTA_3_2"/>
      <w:bookmarkStart w:id="264" w:name="Tc_sVc4pFBmSUKtr0b5_NcSxg_2_5"/>
      <w:bookmarkStart w:id="265" w:name="Tc_0lzI_6-j30ebB_8iIgXjEw_1_5"/>
      <w:bookmarkStart w:id="266" w:name="_7b0f4361_4c77_4e6a_a21d_54dc80e51891"/>
      <w:bookmarkStart w:id="267" w:name="Tc_OKgnSrcKQ0abYuiR6pgLJw_32_0"/>
      <w:bookmarkStart w:id="268" w:name="Tc_8dBl58qyWkyjoBr03-C8uA_31_0"/>
      <w:bookmarkStart w:id="269" w:name="Tc_CYCh215jNU2QkuXwqhBUgQ_30_0"/>
      <w:bookmarkStart w:id="270" w:name="Tc_uX6SKjAMl0G6d9Em6QndgQ_29_0"/>
      <w:bookmarkStart w:id="271" w:name="Tc_dG0PtBC9CkaUyqmeuKF1zA_28_2"/>
      <w:bookmarkStart w:id="272" w:name="Tc_YYChVmm3kkSEyo2QU0RZgw_26_0"/>
      <w:bookmarkStart w:id="273" w:name="Tc_IpeDfEXgEEKxgJIPb6Eo_w_25_0"/>
      <w:bookmarkStart w:id="274" w:name="Tc_Shx4uig9nkiman4VTarP9g_24_0"/>
      <w:bookmarkStart w:id="275" w:name="Tc_TrsfMA5TV0C2ULDbX-qFCA_23_8"/>
      <w:bookmarkStart w:id="276" w:name="Tc_sO6rEelIiEOIaytLNiww7g_23_5"/>
      <w:bookmarkStart w:id="277" w:name="Tc_xycZos5scE-MPuyyINqAvg_23_2"/>
      <w:bookmarkStart w:id="278" w:name="Tc_aX0YpzL1DE-sN5OKbTFvmQ_23_0"/>
      <w:bookmarkStart w:id="279" w:name="Tc_DY5DO0wM5kyGQJolwSyWwQ_22_2"/>
      <w:bookmarkStart w:id="280" w:name="Tc_WSpIM7SGfEuta9E_DBFHhQ_21_8"/>
      <w:bookmarkStart w:id="281" w:name="Tc_ZQFgPGYxqkGSJV6F2jcJxA_21_5"/>
      <w:bookmarkStart w:id="282" w:name="Tc_5nyWSMfgpU6s_ueJZuVegw_21_2"/>
      <w:bookmarkStart w:id="283" w:name="Tc_a48RArnZD0i0I658iXjD3g_20_5"/>
      <w:bookmarkStart w:id="284" w:name="Tc_9kqHVuY1i0y2aTWUseHusA_20_2"/>
      <w:bookmarkStart w:id="285" w:name="Tc_AdPgPpnr3UmYpko8VvRrPA_19_5"/>
      <w:bookmarkStart w:id="286" w:name="Tc_H3qm-bVy9E2HMG5MSMUeoA_18_5"/>
      <w:bookmarkStart w:id="287" w:name="Tc_Vp8d1eXTWUCd69XVRPrvzw_15_0"/>
      <w:bookmarkStart w:id="288" w:name="Tc_nY6xf5GtREGzzduGu2LaxQ_14_0"/>
      <w:bookmarkStart w:id="289" w:name="Tc_bfm8KqpMok6nvtN6PDiNKQ_13_0"/>
      <w:bookmarkStart w:id="290" w:name="Tc_1g7RhGO2uEmZ5MlGQJ_z5g_12_0"/>
      <w:bookmarkStart w:id="291" w:name="Tc_6GtlEC2IJUWmIacN8R90bA_11_2"/>
      <w:bookmarkStart w:id="292" w:name="Tc_brjxawvjo0CyvTQTJMsFeg_9_0"/>
      <w:bookmarkStart w:id="293" w:name="Tc_in9alDK3MUuZyQsrBifqlA_8_0"/>
      <w:bookmarkStart w:id="294" w:name="Tc_3QPxrOQlXU6z_wKAu_N8bA_7_0"/>
      <w:bookmarkStart w:id="295" w:name="Tc_ikkG1OYo8U2EDx1A46un0g_6_8"/>
      <w:bookmarkStart w:id="296" w:name="Tc_kEWfHcWOP061ChYPqf9WkA_6_5"/>
      <w:bookmarkStart w:id="297" w:name="Tc_XO4CoJjEnkiyoeljklhFeQ_6_2"/>
      <w:bookmarkStart w:id="298" w:name="Tc_8u0p2jnoakiW0xBxYDj6Zg_6_0"/>
      <w:bookmarkStart w:id="299" w:name="Tc_6KPWSy__Uk-7_oUeNSqr6g_5_2"/>
      <w:bookmarkStart w:id="300" w:name="Tc_IY-FQpyItkKaAxG3F36ZpQ_4_8"/>
      <w:bookmarkStart w:id="301" w:name="Tc_mt5-UdSfSkCWBr8dSjxfmg_4_5"/>
      <w:bookmarkStart w:id="302" w:name="Tc_aPSNAqiQBkCJ84QdPGFUMQ_4_2"/>
      <w:bookmarkStart w:id="303" w:name="Tc_OQ-id3wEZkywguKyWZ3xJQ_3_5"/>
      <w:bookmarkStart w:id="304" w:name="Tc_Yfh0hC-3U0SoCX3AbwpoTA_3_2"/>
      <w:bookmarkStart w:id="305" w:name="Tc_sVc4pFBmSUKtr0b5_NcSxg_2_5"/>
      <w:bookmarkStart w:id="306" w:name="Tc_0lzI_6-j30ebB_8iIgXjEw_1_5"/>
      <w:bookmarkStart w:id="307" w:name="_7b0f4361_4c77_4e6a_a21d_54dc80e51891"/>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tbl>
      <w:tblPr>
        <w:tblW w:w="10205" w:type="dxa"/>
        <w:jc w:val="left"/>
        <w:tblInd w:w="0" w:type="dxa"/>
        <w:tblLayout w:type="fixed"/>
        <w:tblCellMar>
          <w:top w:w="0" w:type="dxa"/>
          <w:left w:w="0" w:type="dxa"/>
          <w:bottom w:w="0" w:type="dxa"/>
          <w:right w:w="0" w:type="dxa"/>
        </w:tblCellMar>
      </w:tblPr>
      <w:tblGrid>
        <w:gridCol w:w="5166"/>
        <w:gridCol w:w="326"/>
        <w:gridCol w:w="211"/>
        <w:gridCol w:w="1141"/>
        <w:gridCol w:w="326"/>
        <w:gridCol w:w="211"/>
        <w:gridCol w:w="1145"/>
        <w:gridCol w:w="326"/>
        <w:gridCol w:w="211"/>
        <w:gridCol w:w="1142"/>
      </w:tblGrid>
      <w:tr>
        <w:trPr/>
        <w:tc>
          <w:tcPr>
            <w:tcW w:w="5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3280410" cy="175260"/>
                      <wp:effectExtent l="0" t="0" r="0" b="0"/>
                      <wp:wrapNone/>
                      <wp:docPr id="26" name="Frame25"/>
                      <a:graphic xmlns:a="http://schemas.openxmlformats.org/drawingml/2006/main">
                        <a:graphicData uri="http://schemas.microsoft.com/office/word/2010/wordprocessingShape">
                          <wps:wsp>
                            <wps:cNvSpPr txBox="1"/>
                            <wps:spPr>
                              <a:xfrm>
                                <a:off x="0" y="0"/>
                                <a:ext cx="3280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7" name="Frame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33985" cy="175260"/>
                      <wp:effectExtent l="0" t="0" r="0" b="0"/>
                      <wp:wrapNone/>
                      <wp:docPr id="28" name="Frame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724535" cy="175260"/>
                      <wp:effectExtent l="0" t="0" r="0" b="0"/>
                      <wp:wrapNone/>
                      <wp:docPr id="29" name="Frame2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30" name="Frame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3985" cy="175260"/>
                      <wp:effectExtent l="0" t="0" r="0" b="0"/>
                      <wp:wrapNone/>
                      <wp:docPr id="31" name="Frame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727075" cy="175260"/>
                      <wp:effectExtent l="0" t="0" r="0" b="0"/>
                      <wp:wrapNone/>
                      <wp:docPr id="32" name="Frame31"/>
                      <a:graphic xmlns:a="http://schemas.openxmlformats.org/drawingml/2006/main">
                        <a:graphicData uri="http://schemas.microsoft.com/office/word/2010/wordprocessingShape">
                          <wps:wsp>
                            <wps:cNvSpPr txBox="1"/>
                            <wps:spPr>
                              <a:xfrm>
                                <a:off x="0" y="0"/>
                                <a:ext cx="727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3"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3985" cy="175260"/>
                      <wp:effectExtent l="0" t="0" r="0" b="0"/>
                      <wp:wrapNone/>
                      <wp:docPr id="34" name="Frame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725170" cy="175260"/>
                      <wp:effectExtent l="0" t="0" r="0" b="0"/>
                      <wp:wrapNone/>
                      <wp:docPr id="35" name="Frame34"/>
                      <a:graphic xmlns:a="http://schemas.openxmlformats.org/drawingml/2006/main">
                        <a:graphicData uri="http://schemas.microsoft.com/office/word/2010/wordprocessingShape">
                          <wps:wsp>
                            <wps:cNvSpPr txBox="1"/>
                            <wps:spPr>
                              <a:xfrm>
                                <a:off x="0" y="0"/>
                                <a:ext cx="725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1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1142" w:type="dxa"/>
            <w:tcBorders/>
            <w:vAlign w:val="center"/>
          </w:tcPr>
          <w:p>
            <w:pPr>
              <w:pStyle w:val="TableContents"/>
              <w:bidi w:val="0"/>
              <w:spacing w:before="0" w:after="1"/>
              <w:ind w:left="0" w:right="0" w:hanging="0"/>
              <w:jc w:val="left"/>
              <w:rPr/>
            </w:pPr>
            <w:r>
              <w:rPr/>
              <w:t>​</w:t>
            </w:r>
          </w:p>
        </w:tc>
      </w:tr>
      <w:tr>
        <w:trPr/>
        <w:tc>
          <w:tcPr>
            <w:tcW w:w="51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1142" w:type="dxa"/>
            <w:tcBorders/>
            <w:vAlign w:val="center"/>
          </w:tcPr>
          <w:p>
            <w:pPr>
              <w:pStyle w:val="TableContents"/>
              <w:bidi w:val="0"/>
              <w:spacing w:before="0" w:after="1"/>
              <w:ind w:left="0" w:right="0" w:hanging="0"/>
              <w:jc w:val="left"/>
              <w:rPr/>
            </w:pPr>
            <w:r>
              <w:rPr/>
              <w:t>​</w:t>
            </w:r>
          </w:p>
        </w:tc>
      </w:tr>
      <w:tr>
        <w:trPr/>
        <w:tc>
          <w:tcPr>
            <w:tcW w:w="51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35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vAlign w:val="center"/>
          </w:tcPr>
          <w:p>
            <w:pPr>
              <w:pStyle w:val="TableContents"/>
              <w:bidi w:val="0"/>
              <w:spacing w:before="0" w:after="1"/>
              <w:ind w:left="0" w:right="0" w:hanging="0"/>
              <w:jc w:val="center"/>
              <w:rPr/>
            </w:pPr>
            <w:r>
              <w:rPr/>
              <w:t>    </w:t>
            </w:r>
          </w:p>
        </w:tc>
        <w:tc>
          <w:tcPr>
            <w:tcW w:w="13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1"/>
              <w:ind w:left="0" w:right="0" w:hanging="0"/>
              <w:jc w:val="center"/>
              <w:rPr/>
            </w:pPr>
            <w:r>
              <w:rPr/>
              <w:t>    </w:t>
            </w:r>
          </w:p>
        </w:tc>
        <w:tc>
          <w:tcPr>
            <w:tcW w:w="1353" w:type="dxa"/>
            <w:gridSpan w:val="2"/>
            <w:tcBorders/>
            <w:vAlign w:val="center"/>
          </w:tcPr>
          <w:p>
            <w:pPr>
              <w:pStyle w:val="TableContents"/>
              <w:bidi w:val="0"/>
              <w:spacing w:before="0" w:after="1"/>
              <w:ind w:left="0" w:right="0" w:hanging="0"/>
              <w:jc w:val="center"/>
              <w:rPr/>
            </w:pPr>
            <w:r>
              <w:rPr/>
              <w:t>​</w:t>
            </w:r>
          </w:p>
        </w:tc>
      </w:tr>
      <w:tr>
        <w:trPr/>
        <w:tc>
          <w:tcPr>
            <w:tcW w:w="51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1"/>
              <w:ind w:left="0" w:right="0" w:hanging="0"/>
              <w:jc w:val="center"/>
              <w:rPr/>
            </w:pPr>
            <w:r>
              <w:rPr/>
              <w:t>​</w:t>
            </w:r>
          </w:p>
        </w:tc>
        <w:tc>
          <w:tcPr>
            <w:tcW w:w="13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26" w:type="dxa"/>
            <w:tcBorders/>
            <w:vAlign w:val="center"/>
          </w:tcPr>
          <w:p>
            <w:pPr>
              <w:pStyle w:val="TableContents"/>
              <w:bidi w:val="0"/>
              <w:spacing w:before="0" w:after="1"/>
              <w:ind w:left="0" w:right="0" w:hanging="0"/>
              <w:jc w:val="center"/>
              <w:rPr/>
            </w:pPr>
            <w:r>
              <w:rPr/>
              <w:t>​</w:t>
            </w:r>
          </w:p>
        </w:tc>
        <w:tc>
          <w:tcPr>
            <w:tcW w:w="13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20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51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713"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2024</w:t>
            </w:r>
          </w:p>
        </w:tc>
      </w:tr>
      <w:tr>
        <w:trPr/>
        <w:tc>
          <w:tcPr>
            <w:tcW w:w="5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June 30, 2024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102,540,126</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(16,736,724)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85,803,402</w:t>
            </w:r>
          </w:p>
        </w:tc>
      </w:tr>
      <w:tr>
        <w:trPr/>
        <w:tc>
          <w:tcPr>
            <w:tcW w:w="5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(397,298)</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114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(397,298)</w:t>
            </w:r>
          </w:p>
        </w:tc>
      </w:tr>
      <w:tr>
        <w:trPr/>
        <w:tc>
          <w:tcPr>
            <w:tcW w:w="5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unrealized gain (loss) on securities available for sale, net of tax</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3,076,358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3,076,358</w:t>
            </w:r>
          </w:p>
        </w:tc>
      </w:tr>
      <w:tr>
        <w:trPr/>
        <w:tc>
          <w:tcPr>
            <w:tcW w:w="5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September 30, 2024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102,142,828</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(13,660,366)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88,482,462</w:t>
            </w:r>
          </w:p>
        </w:tc>
      </w:tr>
      <w:tr>
        <w:trPr/>
        <w:tc>
          <w:tcPr>
            <w:tcW w:w="51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114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2" w:type="dxa"/>
            <w:tcBorders/>
            <w:vAlign w:val="center"/>
          </w:tcPr>
          <w:p>
            <w:pPr>
              <w:pStyle w:val="TableContents"/>
              <w:bidi w:val="0"/>
              <w:spacing w:before="0" w:after="1"/>
              <w:ind w:left="0" w:right="0" w:hanging="0"/>
              <w:jc w:val="right"/>
              <w:rPr/>
            </w:pPr>
            <w:r>
              <w:rPr/>
              <w:t>​</w:t>
            </w:r>
          </w:p>
        </w:tc>
      </w:tr>
      <w:tr>
        <w:trPr/>
        <w:tc>
          <w:tcPr>
            <w:tcW w:w="51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71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2025</w:t>
            </w:r>
          </w:p>
        </w:tc>
      </w:tr>
      <w:tr>
        <w:trPr/>
        <w:tc>
          <w:tcPr>
            <w:tcW w:w="5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June 30, 2025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101,681,962</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(12,779,446)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88,902,516</w:t>
            </w:r>
          </w:p>
        </w:tc>
      </w:tr>
      <w:tr>
        <w:trPr/>
        <w:tc>
          <w:tcPr>
            <w:tcW w:w="5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70,063</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114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70,063</w:t>
            </w:r>
          </w:p>
        </w:tc>
      </w:tr>
      <w:tr>
        <w:trPr/>
        <w:tc>
          <w:tcPr>
            <w:tcW w:w="5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unrealized gain (loss) on securities available for sale, net of tax</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1,176,067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1,176,067</w:t>
            </w:r>
          </w:p>
        </w:tc>
      </w:tr>
      <w:tr>
        <w:trPr/>
        <w:tc>
          <w:tcPr>
            <w:tcW w:w="5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September 30, 2025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101,752,025</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(11,603,379)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90,148,646</w:t>
            </w:r>
          </w:p>
        </w:tc>
      </w:tr>
      <w:tr>
        <w:trPr/>
        <w:tc>
          <w:tcPr>
            <w:tcW w:w="51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114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2" w:type="dxa"/>
            <w:tcBorders/>
            <w:vAlign w:val="center"/>
          </w:tcPr>
          <w:p>
            <w:pPr>
              <w:pStyle w:val="TableContents"/>
              <w:bidi w:val="0"/>
              <w:spacing w:before="0" w:after="1"/>
              <w:ind w:left="0" w:right="0" w:hanging="0"/>
              <w:jc w:val="right"/>
              <w:rPr/>
            </w:pPr>
            <w:r>
              <w:rPr/>
              <w:t>  </w:t>
            </w:r>
          </w:p>
        </w:tc>
      </w:tr>
      <w:tr>
        <w:trPr/>
        <w:tc>
          <w:tcPr>
            <w:tcW w:w="51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114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2" w:type="dxa"/>
            <w:tcBorders/>
            <w:vAlign w:val="center"/>
          </w:tcPr>
          <w:p>
            <w:pPr>
              <w:pStyle w:val="TableContents"/>
              <w:bidi w:val="0"/>
              <w:spacing w:before="0" w:after="1"/>
              <w:ind w:left="0" w:right="0" w:hanging="0"/>
              <w:jc w:val="right"/>
              <w:rPr/>
            </w:pPr>
            <w:r>
              <w:rPr/>
              <w:t>  </w:t>
            </w:r>
          </w:p>
        </w:tc>
      </w:tr>
      <w:tr>
        <w:trPr/>
        <w:tc>
          <w:tcPr>
            <w:tcW w:w="51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1142" w:type="dxa"/>
            <w:tcBorders/>
            <w:vAlign w:val="center"/>
          </w:tcPr>
          <w:p>
            <w:pPr>
              <w:pStyle w:val="TableContents"/>
              <w:bidi w:val="0"/>
              <w:spacing w:before="0" w:after="1"/>
              <w:ind w:left="0" w:right="0" w:hanging="0"/>
              <w:jc w:val="left"/>
              <w:rPr/>
            </w:pPr>
            <w:r>
              <w:rPr/>
              <w:t>​</w:t>
            </w:r>
          </w:p>
        </w:tc>
      </w:tr>
      <w:tr>
        <w:trPr/>
        <w:tc>
          <w:tcPr>
            <w:tcW w:w="51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1142" w:type="dxa"/>
            <w:tcBorders/>
            <w:vAlign w:val="center"/>
          </w:tcPr>
          <w:p>
            <w:pPr>
              <w:pStyle w:val="TableContents"/>
              <w:bidi w:val="0"/>
              <w:spacing w:before="0" w:after="1"/>
              <w:ind w:left="0" w:right="0" w:hanging="0"/>
              <w:jc w:val="left"/>
              <w:rPr/>
            </w:pPr>
            <w:r>
              <w:rPr/>
              <w:t>​</w:t>
            </w:r>
          </w:p>
        </w:tc>
      </w:tr>
      <w:tr>
        <w:trPr/>
        <w:tc>
          <w:tcPr>
            <w:tcW w:w="51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35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vAlign w:val="center"/>
          </w:tcPr>
          <w:p>
            <w:pPr>
              <w:pStyle w:val="TableContents"/>
              <w:bidi w:val="0"/>
              <w:spacing w:before="0" w:after="1"/>
              <w:ind w:left="0" w:right="0" w:hanging="0"/>
              <w:jc w:val="center"/>
              <w:rPr/>
            </w:pPr>
            <w:r>
              <w:rPr/>
              <w:t>​</w:t>
            </w:r>
          </w:p>
        </w:tc>
        <w:tc>
          <w:tcPr>
            <w:tcW w:w="13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1"/>
              <w:ind w:left="0" w:right="0" w:hanging="0"/>
              <w:jc w:val="center"/>
              <w:rPr/>
            </w:pPr>
            <w:r>
              <w:rPr/>
              <w:t>​</w:t>
            </w:r>
          </w:p>
        </w:tc>
        <w:tc>
          <w:tcPr>
            <w:tcW w:w="1353" w:type="dxa"/>
            <w:gridSpan w:val="2"/>
            <w:tcBorders/>
            <w:vAlign w:val="center"/>
          </w:tcPr>
          <w:p>
            <w:pPr>
              <w:pStyle w:val="TableContents"/>
              <w:bidi w:val="0"/>
              <w:spacing w:before="0" w:after="1"/>
              <w:ind w:left="0" w:right="0" w:hanging="0"/>
              <w:jc w:val="center"/>
              <w:rPr/>
            </w:pPr>
            <w:r>
              <w:rPr/>
              <w:t>​</w:t>
            </w:r>
          </w:p>
        </w:tc>
      </w:tr>
      <w:tr>
        <w:trPr/>
        <w:tc>
          <w:tcPr>
            <w:tcW w:w="51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1"/>
              <w:ind w:left="0" w:right="0" w:hanging="0"/>
              <w:jc w:val="center"/>
              <w:rPr/>
            </w:pPr>
            <w:r>
              <w:rPr/>
              <w:t>​</w:t>
            </w:r>
          </w:p>
        </w:tc>
        <w:tc>
          <w:tcPr>
            <w:tcW w:w="13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26" w:type="dxa"/>
            <w:tcBorders/>
            <w:vAlign w:val="center"/>
          </w:tcPr>
          <w:p>
            <w:pPr>
              <w:pStyle w:val="TableContents"/>
              <w:bidi w:val="0"/>
              <w:spacing w:before="0" w:after="1"/>
              <w:ind w:left="0" w:right="0" w:hanging="0"/>
              <w:jc w:val="center"/>
              <w:rPr/>
            </w:pPr>
            <w:r>
              <w:rPr/>
              <w:t>​</w:t>
            </w:r>
          </w:p>
        </w:tc>
        <w:tc>
          <w:tcPr>
            <w:tcW w:w="13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20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51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713"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2024</w:t>
            </w:r>
          </w:p>
        </w:tc>
      </w:tr>
      <w:tr>
        <w:trPr/>
        <w:tc>
          <w:tcPr>
            <w:tcW w:w="5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December 31, 2023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103,678,756</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(15,919,149)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87,759,607</w:t>
            </w:r>
          </w:p>
        </w:tc>
      </w:tr>
      <w:tr>
        <w:trPr/>
        <w:tc>
          <w:tcPr>
            <w:tcW w:w="5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(1,535,928)</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114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(1,535,928)</w:t>
            </w:r>
          </w:p>
        </w:tc>
      </w:tr>
      <w:tr>
        <w:trPr/>
        <w:tc>
          <w:tcPr>
            <w:tcW w:w="5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unrealized gain (loss) on securities available for sale, net of tax</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2,258,783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2,258,783</w:t>
            </w:r>
          </w:p>
        </w:tc>
      </w:tr>
      <w:tr>
        <w:trPr/>
        <w:tc>
          <w:tcPr>
            <w:tcW w:w="5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September 30, 2024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102,142,828</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(13,660,366)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88,482,462</w:t>
            </w:r>
          </w:p>
        </w:tc>
      </w:tr>
      <w:tr>
        <w:trPr/>
        <w:tc>
          <w:tcPr>
            <w:tcW w:w="51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114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2" w:type="dxa"/>
            <w:tcBorders/>
            <w:vAlign w:val="center"/>
          </w:tcPr>
          <w:p>
            <w:pPr>
              <w:pStyle w:val="TableContents"/>
              <w:bidi w:val="0"/>
              <w:spacing w:before="0" w:after="1"/>
              <w:ind w:left="0" w:right="0" w:hanging="0"/>
              <w:jc w:val="right"/>
              <w:rPr/>
            </w:pPr>
            <w:r>
              <w:rPr/>
              <w:t>​</w:t>
            </w:r>
          </w:p>
        </w:tc>
      </w:tr>
      <w:tr>
        <w:trPr/>
        <w:tc>
          <w:tcPr>
            <w:tcW w:w="51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71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2025</w:t>
            </w:r>
          </w:p>
        </w:tc>
      </w:tr>
      <w:tr>
        <w:trPr/>
        <w:tc>
          <w:tcPr>
            <w:tcW w:w="5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101,720,939</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(15,890,577)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85,830,362</w:t>
            </w:r>
          </w:p>
        </w:tc>
      </w:tr>
      <w:tr>
        <w:trPr/>
        <w:tc>
          <w:tcPr>
            <w:tcW w:w="5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31,086</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114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31,086</w:t>
            </w:r>
          </w:p>
        </w:tc>
      </w:tr>
      <w:tr>
        <w:trPr/>
        <w:tc>
          <w:tcPr>
            <w:tcW w:w="5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unrealized gain (loss) on securities available for sale, net of tax</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4,287,198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4,287,198</w:t>
            </w:r>
          </w:p>
        </w:tc>
      </w:tr>
      <w:tr>
        <w:trPr/>
        <w:tc>
          <w:tcPr>
            <w:tcW w:w="5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September 30, 2025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101,752,025</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(11,603,379)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2" w:type="dxa"/>
            <w:tcBorders>
              <w:bottom w:val="single" w:sz="2"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90,148,646</w:t>
            </w:r>
          </w:p>
        </w:tc>
      </w:tr>
    </w:tbl>
    <w:p>
      <w:pPr>
        <w:pStyle w:val="TextBody"/>
        <w:bidi w:val="0"/>
        <w:spacing w:before="0" w:after="240"/>
        <w:ind w:left="0" w:right="0" w:hanging="0"/>
        <w:jc w:val="left"/>
        <w:rPr>
          <w:shd w:fill="FFFF00" w:val="clear"/>
        </w:rPr>
      </w:pPr>
      <w:r>
        <w:rPr>
          <w:shd w:fill="FFFF00" w:val="clea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i/>
          <w:sz w:val="20"/>
        </w:rPr>
        <w:t>The accompanying notes are an integral part of these condensed consolidated financial statements</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08" w:name="_ad3dc1cd_e9db_4200_bd37_c1292dd00916"/>
      <w:bookmarkEnd w:id="308"/>
      <w:r>
        <w:rPr>
          <w:rFonts w:ascii="Times New Roman;Times;serif" w:hAnsi="Times New Roman;Times;serif"/>
          <w:b/>
          <w:sz w:val="20"/>
        </w:rPr>
        <w:t>HOYNE SAVINGS, MHC AND SUBSIDIARIES</w:t>
      </w:r>
    </w:p>
    <w:p>
      <w:pPr>
        <w:pStyle w:val="TextBody"/>
        <w:bidi w:val="0"/>
        <w:spacing w:before="0" w:after="0"/>
        <w:ind w:left="0" w:right="0" w:hanging="0"/>
        <w:jc w:val="center"/>
        <w:rPr>
          <w:rFonts w:ascii="Times New Roman;Times;serif" w:hAnsi="Times New Roman;Times;serif"/>
          <w:b/>
          <w:sz w:val="20"/>
        </w:rPr>
      </w:pPr>
      <w:bookmarkStart w:id="309" w:name="CONSOLIDATEDSTATEMENTOFCASHFLOWS_89391"/>
      <w:bookmarkEnd w:id="309"/>
      <w:r>
        <w:rPr>
          <w:rFonts w:ascii="Times New Roman;Times;serif" w:hAnsi="Times New Roman;Times;serif"/>
          <w:b/>
          <w:sz w:val="20"/>
        </w:rPr>
        <w:t>CONSOLIDATED STATEMENT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Nine Months Ended September 30, 2025 and 2024</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10" w:name="Tc_27zbpv27xEKUNw61_JcJyQ_41_6"/>
      <w:bookmarkStart w:id="311" w:name="Tc_-W8IGVimKEuniN9Ta8EB7A_41_0"/>
      <w:bookmarkStart w:id="312" w:name="Tc_OR8IVEYJfEGixR7Jypvw_Q_40_6"/>
      <w:bookmarkStart w:id="313" w:name="Tc_mlR5lPATl0GLzErGyLQmXA_40_3"/>
      <w:bookmarkStart w:id="314" w:name="Tc_0AMiKHuiO0qPv9rvzF_vSQ_40_0"/>
      <w:bookmarkStart w:id="315" w:name="Tc_8Ou8HPeWC0yfJNPRao4t6w_39_5"/>
      <w:bookmarkStart w:id="316" w:name="Tc_qgBg4kg5hUGCwAggagMHfg_39_2"/>
      <w:bookmarkStart w:id="317" w:name="Tc_kZ7WrUpQM0mZp8bYXreE_g_39_0"/>
      <w:bookmarkStart w:id="318" w:name="Tc__8YwZbLkGUavcW4BKdGfqg_38_0"/>
      <w:bookmarkStart w:id="319" w:name="Tc_vBqA99tiKUODciYpLdBXXg_37_5"/>
      <w:bookmarkStart w:id="320" w:name="Tc_3k0lgSAWaUed9HFx_am20g_37_2"/>
      <w:bookmarkStart w:id="321" w:name="Tc_-J3DD3FwfEOZj5SiYNs0xw_37_0"/>
      <w:bookmarkStart w:id="322" w:name="Tc_VNV6QI2gN0yCUNxS7BItOA_36_0"/>
      <w:bookmarkStart w:id="323" w:name="Tc_yu0i3jcRiUyBvFMtYU4oCA_35_0"/>
      <w:bookmarkStart w:id="324" w:name="Tc_mhFPzi9xcUOCKu3eMBeWRg_34_0"/>
      <w:bookmarkStart w:id="325" w:name="Tc_XHwt7oaENkuOlZS8cPehmQ_33_0"/>
      <w:bookmarkStart w:id="326" w:name="Tc_XwiDKtzrdEm1uRu8k07moQ_32_0"/>
      <w:bookmarkStart w:id="327" w:name="Tc_o8PDx7JMtEa4pw5Sh5Nwxw_31_0"/>
      <w:bookmarkStart w:id="328" w:name="Tc_U9VlHGiVZk2qb26RuuhnBQ_30_0"/>
      <w:bookmarkStart w:id="329" w:name="Tc_htMuxG4Ta0qc5PJ4DKBUVg_29_0"/>
      <w:bookmarkStart w:id="330" w:name="Tc_bHtJlrY1RUGTbUn01uf3oA_28_0"/>
      <w:bookmarkStart w:id="331" w:name="Tc_UT3KfR7AyEONuMRdRPrdQw_27_3"/>
      <w:bookmarkStart w:id="332" w:name="Tc_A_va1HM8IkyKSECGGeiZkg_27_0"/>
      <w:bookmarkStart w:id="333" w:name="Tc_lnGyuYH_iEesYqW_zv70Ig_26_0"/>
      <w:bookmarkStart w:id="334" w:name="Tc_1Cx8fXvHlEGmCLNVjni3xA_25_0"/>
      <w:bookmarkStart w:id="335" w:name="Tc_zXLwB9P_KEqIH9GCM6Rn0Q_24_0"/>
      <w:bookmarkStart w:id="336" w:name="Tc_lcWH8VFaTky5rygOkbfA7A_23_0"/>
      <w:bookmarkStart w:id="337" w:name="Tc_A9XJ62W9g0eRntA9qIlWqw_22_0"/>
      <w:bookmarkStart w:id="338" w:name="Tc_kmNXcb3zxkKY6PIBnFurOw_21_0"/>
      <w:bookmarkStart w:id="339" w:name="Tc_Q1WUKGNFFUy_YR888e9j6Q_20_3"/>
      <w:bookmarkStart w:id="340" w:name="Tc_RVG-v-0AQkyCzQn1puyxzA_20_0"/>
      <w:bookmarkStart w:id="341" w:name="Tc_tbwK0v60p0u2qOcxuTmknA_19_0"/>
      <w:bookmarkStart w:id="342" w:name="Tc_X7uthtgUD0WvzQ_TWmcgJg_18_0"/>
      <w:bookmarkStart w:id="343" w:name="Tc_kxY_droxaUyF8RZF0BlnXQ_17_0"/>
      <w:bookmarkStart w:id="344" w:name="Tc_tkxw4zkR3ECLn-nGISPlcQ_16_0"/>
      <w:bookmarkStart w:id="345" w:name="Tc_HVgPwPyqU0uo4fvhcSarlg_15_0"/>
      <w:bookmarkStart w:id="346" w:name="Tc_zZIxFMUCbkei8w0u1topzQ_14_0"/>
      <w:bookmarkStart w:id="347" w:name="Tc_avysyNdr4E6ZH_1k0Hp-MA_13_0"/>
      <w:bookmarkStart w:id="348" w:name="Tc_amg3CKqLHUyMkx9HBkjHig_12_3"/>
      <w:bookmarkStart w:id="349" w:name="Tc_4RAXH21brEW9vDz7AnpHKQ_12_0"/>
      <w:bookmarkStart w:id="350" w:name="Tc_-85d1QAdzUG4umET8-VZGA_11_0"/>
      <w:bookmarkStart w:id="351" w:name="Tc_EIKE5fcXwEuLjabVuOB_og_10_0"/>
      <w:bookmarkStart w:id="352" w:name="Tc_2-VZ68PFo0qJfGZbxgPRfg_9_0"/>
      <w:bookmarkStart w:id="353" w:name="Tc_VVNjLs3M00q7Dp-oAiGngA_8_0"/>
      <w:bookmarkStart w:id="354" w:name="Tc_Ba3f-P3ACkCtvEcGnnREhw_7_0"/>
      <w:bookmarkStart w:id="355" w:name="Tc_YSFCqKpXaEmJdyV-6YaPoQ_6_0"/>
      <w:bookmarkStart w:id="356" w:name="Tc_tGG4KMdOeEWWtSuoKvbyfA_5_5"/>
      <w:bookmarkStart w:id="357" w:name="Tc_GphNZc0kmEmiTo2Dse2_KA_5_2"/>
      <w:bookmarkStart w:id="358" w:name="Tc_gJp_itusrEafpO_Hi0haPg_5_0"/>
      <w:bookmarkStart w:id="359" w:name="Tc_H_6m5aIPoUqRnYjCczgnpw_4_0"/>
      <w:bookmarkStart w:id="360" w:name="Tc_IIOZ6755zkC9noob1sQnsg_3_5"/>
      <w:bookmarkStart w:id="361" w:name="Tc_dsHmR_iroEy-b5-42Ggm0A_3_2"/>
      <w:bookmarkStart w:id="362" w:name="Tc_3lDpzYpoBEO3PtqgrwP0Lg_2_5"/>
      <w:bookmarkStart w:id="363" w:name="Tc_MZQQlFfEI0iXnQPh870K0g_2_2"/>
      <w:bookmarkStart w:id="364" w:name="Tc_3nOdocluPU2Zcab2B58zGg_1_2"/>
      <w:bookmarkStart w:id="365" w:name="_91f422dd_9ca5_450d_9d40_d142e30f0848"/>
      <w:bookmarkStart w:id="366" w:name="Tc_27zbpv27xEKUNw61_JcJyQ_41_6"/>
      <w:bookmarkStart w:id="367" w:name="Tc_-W8IGVimKEuniN9Ta8EB7A_41_0"/>
      <w:bookmarkStart w:id="368" w:name="Tc_OR8IVEYJfEGixR7Jypvw_Q_40_6"/>
      <w:bookmarkStart w:id="369" w:name="Tc_mlR5lPATl0GLzErGyLQmXA_40_3"/>
      <w:bookmarkStart w:id="370" w:name="Tc_0AMiKHuiO0qPv9rvzF_vSQ_40_0"/>
      <w:bookmarkStart w:id="371" w:name="Tc_8Ou8HPeWC0yfJNPRao4t6w_39_5"/>
      <w:bookmarkStart w:id="372" w:name="Tc_qgBg4kg5hUGCwAggagMHfg_39_2"/>
      <w:bookmarkStart w:id="373" w:name="Tc_kZ7WrUpQM0mZp8bYXreE_g_39_0"/>
      <w:bookmarkStart w:id="374" w:name="Tc__8YwZbLkGUavcW4BKdGfqg_38_0"/>
      <w:bookmarkStart w:id="375" w:name="Tc_vBqA99tiKUODciYpLdBXXg_37_5"/>
      <w:bookmarkStart w:id="376" w:name="Tc_3k0lgSAWaUed9HFx_am20g_37_2"/>
      <w:bookmarkStart w:id="377" w:name="Tc_-J3DD3FwfEOZj5SiYNs0xw_37_0"/>
      <w:bookmarkStart w:id="378" w:name="Tc_VNV6QI2gN0yCUNxS7BItOA_36_0"/>
      <w:bookmarkStart w:id="379" w:name="Tc_yu0i3jcRiUyBvFMtYU4oCA_35_0"/>
      <w:bookmarkStart w:id="380" w:name="Tc_mhFPzi9xcUOCKu3eMBeWRg_34_0"/>
      <w:bookmarkStart w:id="381" w:name="Tc_XHwt7oaENkuOlZS8cPehmQ_33_0"/>
      <w:bookmarkStart w:id="382" w:name="Tc_XwiDKtzrdEm1uRu8k07moQ_32_0"/>
      <w:bookmarkStart w:id="383" w:name="Tc_o8PDx7JMtEa4pw5Sh5Nwxw_31_0"/>
      <w:bookmarkStart w:id="384" w:name="Tc_U9VlHGiVZk2qb26RuuhnBQ_30_0"/>
      <w:bookmarkStart w:id="385" w:name="Tc_htMuxG4Ta0qc5PJ4DKBUVg_29_0"/>
      <w:bookmarkStart w:id="386" w:name="Tc_bHtJlrY1RUGTbUn01uf3oA_28_0"/>
      <w:bookmarkStart w:id="387" w:name="Tc_UT3KfR7AyEONuMRdRPrdQw_27_3"/>
      <w:bookmarkStart w:id="388" w:name="Tc_A_va1HM8IkyKSECGGeiZkg_27_0"/>
      <w:bookmarkStart w:id="389" w:name="Tc_lnGyuYH_iEesYqW_zv70Ig_26_0"/>
      <w:bookmarkStart w:id="390" w:name="Tc_1Cx8fXvHlEGmCLNVjni3xA_25_0"/>
      <w:bookmarkStart w:id="391" w:name="Tc_zXLwB9P_KEqIH9GCM6Rn0Q_24_0"/>
      <w:bookmarkStart w:id="392" w:name="Tc_lcWH8VFaTky5rygOkbfA7A_23_0"/>
      <w:bookmarkStart w:id="393" w:name="Tc_A9XJ62W9g0eRntA9qIlWqw_22_0"/>
      <w:bookmarkStart w:id="394" w:name="Tc_kmNXcb3zxkKY6PIBnFurOw_21_0"/>
      <w:bookmarkStart w:id="395" w:name="Tc_Q1WUKGNFFUy_YR888e9j6Q_20_3"/>
      <w:bookmarkStart w:id="396" w:name="Tc_RVG-v-0AQkyCzQn1puyxzA_20_0"/>
      <w:bookmarkStart w:id="397" w:name="Tc_tbwK0v60p0u2qOcxuTmknA_19_0"/>
      <w:bookmarkStart w:id="398" w:name="Tc_X7uthtgUD0WvzQ_TWmcgJg_18_0"/>
      <w:bookmarkStart w:id="399" w:name="Tc_kxY_droxaUyF8RZF0BlnXQ_17_0"/>
      <w:bookmarkStart w:id="400" w:name="Tc_tkxw4zkR3ECLn-nGISPlcQ_16_0"/>
      <w:bookmarkStart w:id="401" w:name="Tc_HVgPwPyqU0uo4fvhcSarlg_15_0"/>
      <w:bookmarkStart w:id="402" w:name="Tc_zZIxFMUCbkei8w0u1topzQ_14_0"/>
      <w:bookmarkStart w:id="403" w:name="Tc_avysyNdr4E6ZH_1k0Hp-MA_13_0"/>
      <w:bookmarkStart w:id="404" w:name="Tc_amg3CKqLHUyMkx9HBkjHig_12_3"/>
      <w:bookmarkStart w:id="405" w:name="Tc_4RAXH21brEW9vDz7AnpHKQ_12_0"/>
      <w:bookmarkStart w:id="406" w:name="Tc_-85d1QAdzUG4umET8-VZGA_11_0"/>
      <w:bookmarkStart w:id="407" w:name="Tc_EIKE5fcXwEuLjabVuOB_og_10_0"/>
      <w:bookmarkStart w:id="408" w:name="Tc_2-VZ68PFo0qJfGZbxgPRfg_9_0"/>
      <w:bookmarkStart w:id="409" w:name="Tc_VVNjLs3M00q7Dp-oAiGngA_8_0"/>
      <w:bookmarkStart w:id="410" w:name="Tc_Ba3f-P3ACkCtvEcGnnREhw_7_0"/>
      <w:bookmarkStart w:id="411" w:name="Tc_YSFCqKpXaEmJdyV-6YaPoQ_6_0"/>
      <w:bookmarkStart w:id="412" w:name="Tc_tGG4KMdOeEWWtSuoKvbyfA_5_5"/>
      <w:bookmarkStart w:id="413" w:name="Tc_GphNZc0kmEmiTo2Dse2_KA_5_2"/>
      <w:bookmarkStart w:id="414" w:name="Tc_gJp_itusrEafpO_Hi0haPg_5_0"/>
      <w:bookmarkStart w:id="415" w:name="Tc_H_6m5aIPoUqRnYjCczgnpw_4_0"/>
      <w:bookmarkStart w:id="416" w:name="Tc_IIOZ6755zkC9noob1sQnsg_3_5"/>
      <w:bookmarkStart w:id="417" w:name="Tc_dsHmR_iroEy-b5-42Ggm0A_3_2"/>
      <w:bookmarkStart w:id="418" w:name="Tc_3lDpzYpoBEO3PtqgrwP0Lg_2_5"/>
      <w:bookmarkStart w:id="419" w:name="Tc_MZQQlFfEI0iXnQPh870K0g_2_2"/>
      <w:bookmarkStart w:id="420" w:name="Tc_3nOdocluPU2Zcab2B58zGg_1_2"/>
      <w:bookmarkStart w:id="421" w:name="_91f422dd_9ca5_450d_9d40_d142e30f0848"/>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tbl>
      <w:tblPr>
        <w:tblW w:w="10135" w:type="dxa"/>
        <w:jc w:val="left"/>
        <w:tblInd w:w="0" w:type="dxa"/>
        <w:tblLayout w:type="fixed"/>
        <w:tblCellMar>
          <w:top w:w="0" w:type="dxa"/>
          <w:left w:w="0" w:type="dxa"/>
          <w:bottom w:w="0" w:type="dxa"/>
          <w:right w:w="0" w:type="dxa"/>
        </w:tblCellMar>
      </w:tblPr>
      <w:tblGrid>
        <w:gridCol w:w="6586"/>
        <w:gridCol w:w="326"/>
        <w:gridCol w:w="226"/>
        <w:gridCol w:w="1130"/>
        <w:gridCol w:w="350"/>
        <w:gridCol w:w="226"/>
        <w:gridCol w:w="1291"/>
      </w:tblGrid>
      <w:tr>
        <w:trPr/>
        <w:tc>
          <w:tcPr>
            <w:tcW w:w="6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182110" cy="175260"/>
                      <wp:effectExtent l="0" t="0" r="0" b="0"/>
                      <wp:wrapNone/>
                      <wp:docPr id="36" name="Frame35"/>
                      <a:graphic xmlns:a="http://schemas.openxmlformats.org/drawingml/2006/main">
                        <a:graphicData uri="http://schemas.microsoft.com/office/word/2010/wordprocessingShape">
                          <wps:wsp>
                            <wps:cNvSpPr txBox="1"/>
                            <wps:spPr>
                              <a:xfrm>
                                <a:off x="0" y="0"/>
                                <a:ext cx="418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7" name="Frame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43510" cy="175260"/>
                      <wp:effectExtent l="0" t="0" r="0" b="0"/>
                      <wp:wrapNone/>
                      <wp:docPr id="38" name="Frame3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717550" cy="175260"/>
                      <wp:effectExtent l="0" t="0" r="0" b="0"/>
                      <wp:wrapNone/>
                      <wp:docPr id="39" name="Frame38"/>
                      <a:graphic xmlns:a="http://schemas.openxmlformats.org/drawingml/2006/main">
                        <a:graphicData uri="http://schemas.microsoft.com/office/word/2010/wordprocessingShape">
                          <wps:wsp>
                            <wps:cNvSpPr txBox="1"/>
                            <wps:spPr>
                              <a:xfrm>
                                <a:off x="0" y="0"/>
                                <a:ext cx="717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22250" cy="175260"/>
                      <wp:effectExtent l="0" t="0" r="0" b="0"/>
                      <wp:wrapNone/>
                      <wp:docPr id="40" name="Frame39"/>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43510" cy="175260"/>
                      <wp:effectExtent l="0" t="0" r="0" b="0"/>
                      <wp:wrapNone/>
                      <wp:docPr id="41" name="Frame4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819785" cy="175260"/>
                      <wp:effectExtent l="0" t="0" r="0" b="0"/>
                      <wp:wrapNone/>
                      <wp:docPr id="42" name="Frame41"/>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2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Nine Months Ended September 30,</w:t>
            </w:r>
          </w:p>
        </w:tc>
      </w:tr>
      <w:tr>
        <w:trPr/>
        <w:tc>
          <w:tcPr>
            <w:tcW w:w="6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color w:val="231F20"/>
              </w:rPr>
            </w:pPr>
            <w:r>
              <w:rPr>
                <w:color w:val="231F20"/>
              </w:rPr>
              <w:t>    </w:t>
            </w:r>
          </w:p>
        </w:tc>
        <w:tc>
          <w:tcPr>
            <w:tcW w:w="13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2025</w:t>
            </w:r>
          </w:p>
        </w:tc>
        <w:tc>
          <w:tcPr>
            <w:tcW w:w="350" w:type="dxa"/>
            <w:tcBorders/>
            <w:vAlign w:val="center"/>
          </w:tcPr>
          <w:p>
            <w:pPr>
              <w:pStyle w:val="TableContents"/>
              <w:bidi w:val="0"/>
              <w:spacing w:before="0" w:after="0"/>
              <w:ind w:left="0" w:right="0" w:hanging="0"/>
              <w:jc w:val="center"/>
              <w:rPr>
                <w:color w:val="231F20"/>
              </w:rPr>
            </w:pPr>
            <w:r>
              <w:rPr>
                <w:color w:val="231F20"/>
              </w:rPr>
              <w:t>    </w:t>
            </w:r>
          </w:p>
        </w:tc>
        <w:tc>
          <w:tcPr>
            <w:tcW w:w="15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2024</w:t>
            </w:r>
          </w:p>
        </w:tc>
      </w:tr>
      <w:tr>
        <w:trPr/>
        <w:tc>
          <w:tcPr>
            <w:tcW w:w="6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color w:val="231F20"/>
              </w:rPr>
            </w:pPr>
            <w:r>
              <w:rPr>
                <w:color w:val="231F20"/>
              </w:rPr>
              <w:t>​</w:t>
            </w:r>
          </w:p>
        </w:tc>
        <w:tc>
          <w:tcPr>
            <w:tcW w:w="1356" w:type="dxa"/>
            <w:gridSpan w:val="2"/>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(unaudited)</w:t>
            </w:r>
          </w:p>
        </w:tc>
        <w:tc>
          <w:tcPr>
            <w:tcW w:w="350" w:type="dxa"/>
            <w:tcBorders/>
            <w:vAlign w:val="center"/>
          </w:tcPr>
          <w:p>
            <w:pPr>
              <w:pStyle w:val="TableContents"/>
              <w:bidi w:val="0"/>
              <w:spacing w:before="0" w:after="0"/>
              <w:ind w:left="0" w:right="0" w:hanging="0"/>
              <w:jc w:val="center"/>
              <w:rPr>
                <w:color w:val="231F20"/>
              </w:rPr>
            </w:pPr>
            <w:r>
              <w:rPr>
                <w:color w:val="231F20"/>
              </w:rPr>
              <w:t>​</w:t>
            </w:r>
          </w:p>
        </w:tc>
        <w:tc>
          <w:tcPr>
            <w:tcW w:w="1517" w:type="dxa"/>
            <w:gridSpan w:val="2"/>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(unaudited)</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flows from operating activities:</w:t>
            </w:r>
          </w:p>
        </w:tc>
        <w:tc>
          <w:tcPr>
            <w:tcW w:w="326" w:type="dxa"/>
            <w:tcBorders/>
            <w:shd w:fill="CCEEFF" w:val="clear"/>
            <w:vAlign w:val="center"/>
          </w:tcPr>
          <w:p>
            <w:pPr>
              <w:pStyle w:val="TableContents"/>
              <w:bidi w:val="0"/>
              <w:spacing w:before="0" w:after="0"/>
              <w:ind w:left="0" w:right="0" w:hanging="0"/>
              <w:jc w:val="center"/>
              <w:rPr>
                <w:color w:val="231F20"/>
              </w:rPr>
            </w:pPr>
            <w:r>
              <w:rPr>
                <w:color w:val="231F20"/>
              </w:rPr>
              <w:t>​</w:t>
            </w:r>
          </w:p>
        </w:tc>
        <w:tc>
          <w:tcPr>
            <w:tcW w:w="226" w:type="dxa"/>
            <w:tcBorders/>
            <w:shd w:fill="CCEEFF" w:val="clear"/>
            <w:vAlign w:val="center"/>
          </w:tcPr>
          <w:p>
            <w:pPr>
              <w:pStyle w:val="TableContents"/>
              <w:bidi w:val="0"/>
              <w:spacing w:before="0" w:after="0"/>
              <w:ind w:left="0" w:right="0" w:hanging="0"/>
              <w:jc w:val="center"/>
              <w:rPr>
                <w:color w:val="231F20"/>
              </w:rPr>
            </w:pPr>
            <w:r>
              <w:rPr>
                <w:color w:val="231F20"/>
              </w:rPr>
              <w:t>​</w:t>
            </w:r>
          </w:p>
        </w:tc>
        <w:tc>
          <w:tcPr>
            <w:tcW w:w="1130" w:type="dxa"/>
            <w:tcBorders/>
            <w:shd w:fill="CCEEFF" w:val="clear"/>
            <w:vAlign w:val="center"/>
          </w:tcPr>
          <w:p>
            <w:pPr>
              <w:pStyle w:val="TableContents"/>
              <w:bidi w:val="0"/>
              <w:spacing w:before="0" w:after="0"/>
              <w:ind w:left="0" w:right="0" w:hanging="0"/>
              <w:jc w:val="center"/>
              <w:rPr>
                <w:color w:val="231F20"/>
              </w:rPr>
            </w:pPr>
            <w:r>
              <w:rPr>
                <w:color w:val="231F20"/>
              </w:rPr>
              <w:t>​</w:t>
            </w:r>
          </w:p>
        </w:tc>
        <w:tc>
          <w:tcPr>
            <w:tcW w:w="350" w:type="dxa"/>
            <w:tcBorders/>
            <w:shd w:fill="CCEEFF" w:val="clear"/>
            <w:vAlign w:val="center"/>
          </w:tcPr>
          <w:p>
            <w:pPr>
              <w:pStyle w:val="TableContents"/>
              <w:bidi w:val="0"/>
              <w:spacing w:before="0" w:after="0"/>
              <w:ind w:left="0" w:right="0" w:hanging="0"/>
              <w:jc w:val="center"/>
              <w:rPr>
                <w:color w:val="231F20"/>
              </w:rPr>
            </w:pPr>
            <w:r>
              <w:rPr>
                <w:color w:val="231F20"/>
              </w:rPr>
              <w:t>​</w:t>
            </w:r>
          </w:p>
        </w:tc>
        <w:tc>
          <w:tcPr>
            <w:tcW w:w="226" w:type="dxa"/>
            <w:tcBorders/>
            <w:shd w:fill="CCEEFF" w:val="clear"/>
            <w:vAlign w:val="center"/>
          </w:tcPr>
          <w:p>
            <w:pPr>
              <w:pStyle w:val="TableContents"/>
              <w:bidi w:val="0"/>
              <w:spacing w:before="0" w:after="0"/>
              <w:ind w:left="0" w:right="0" w:hanging="0"/>
              <w:jc w:val="center"/>
              <w:rPr>
                <w:color w:val="231F20"/>
              </w:rPr>
            </w:pPr>
            <w:r>
              <w:rPr>
                <w:color w:val="231F20"/>
              </w:rPr>
              <w:t>​</w:t>
            </w:r>
          </w:p>
        </w:tc>
        <w:tc>
          <w:tcPr>
            <w:tcW w:w="1291" w:type="dxa"/>
            <w:tcBorders/>
            <w:shd w:fill="CCEEFF" w:val="clear"/>
            <w:vAlign w:val="center"/>
          </w:tcPr>
          <w:p>
            <w:pPr>
              <w:pStyle w:val="TableContents"/>
              <w:bidi w:val="0"/>
              <w:spacing w:before="0" w:after="0"/>
              <w:ind w:left="0" w:right="0" w:hanging="0"/>
              <w:jc w:val="center"/>
              <w:rPr>
                <w:color w:val="231F20"/>
              </w:rPr>
            </w:pPr>
            <w:r>
              <w:rPr>
                <w:color w:val="231F20"/>
              </w:rPr>
              <w:t>​</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Net Income (loss)</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130"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31,086</w:t>
            </w:r>
          </w:p>
        </w:tc>
        <w:tc>
          <w:tcPr>
            <w:tcW w:w="350" w:type="dxa"/>
            <w:tcBorders/>
            <w:vAlign w:val="center"/>
          </w:tcPr>
          <w:p>
            <w:pPr>
              <w:pStyle w:val="TableContents"/>
              <w:bidi w:val="0"/>
              <w:spacing w:before="0" w:after="0"/>
              <w:ind w:left="0" w:right="0" w:hanging="0"/>
              <w:jc w:val="left"/>
              <w:rPr>
                <w:color w:val="231F20"/>
              </w:rPr>
            </w:pPr>
            <w:r>
              <w:rPr>
                <w:color w:val="231F20"/>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29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(1,535,928)</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Adjustments to reconcile net income (loss) to net cash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0"/>
              <w:ind w:left="0" w:right="0" w:hanging="0"/>
              <w:jc w:val="right"/>
              <w:rPr/>
            </w:pPr>
            <w:r>
              <w:rPr/>
              <w:t>  </w:t>
            </w:r>
          </w:p>
        </w:tc>
        <w:tc>
          <w:tcPr>
            <w:tcW w:w="350"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291" w:type="dxa"/>
            <w:tcBorders/>
            <w:shd w:fill="CCEEFF" w:val="clear"/>
            <w:vAlign w:val="center"/>
          </w:tcPr>
          <w:p>
            <w:pPr>
              <w:pStyle w:val="TableContents"/>
              <w:bidi w:val="0"/>
              <w:spacing w:before="0" w:after="0"/>
              <w:ind w:left="0" w:right="0" w:hanging="0"/>
              <w:jc w:val="right"/>
              <w:rPr/>
            </w:pPr>
            <w:r>
              <w:rPr/>
              <w:t>  </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Depreciation</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26" w:type="dxa"/>
            <w:tcBorders/>
            <w:vAlign w:val="center"/>
          </w:tcPr>
          <w:p>
            <w:pPr>
              <w:pStyle w:val="TableContents"/>
              <w:bidi w:val="0"/>
              <w:spacing w:before="0" w:after="0"/>
              <w:ind w:left="0" w:right="0" w:hanging="0"/>
              <w:jc w:val="left"/>
              <w:rPr>
                <w:color w:val="231F20"/>
              </w:rPr>
            </w:pPr>
            <w:r>
              <w:rPr>
                <w:color w:val="231F20"/>
              </w:rPr>
              <w:t> </w:t>
            </w:r>
          </w:p>
        </w:tc>
        <w:tc>
          <w:tcPr>
            <w:tcW w:w="1130"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409,820</w:t>
            </w:r>
          </w:p>
        </w:tc>
        <w:tc>
          <w:tcPr>
            <w:tcW w:w="350" w:type="dxa"/>
            <w:tcBorders/>
            <w:vAlign w:val="center"/>
          </w:tcPr>
          <w:p>
            <w:pPr>
              <w:pStyle w:val="TableContents"/>
              <w:bidi w:val="0"/>
              <w:spacing w:before="0" w:after="0"/>
              <w:ind w:left="0" w:right="0" w:hanging="0"/>
              <w:jc w:val="left"/>
              <w:rPr>
                <w:color w:val="231F20"/>
              </w:rPr>
            </w:pPr>
            <w:r>
              <w:rPr>
                <w:color w:val="231F20"/>
              </w:rPr>
              <w:t>​</w:t>
            </w:r>
          </w:p>
        </w:tc>
        <w:tc>
          <w:tcPr>
            <w:tcW w:w="226" w:type="dxa"/>
            <w:tcBorders/>
            <w:vAlign w:val="center"/>
          </w:tcPr>
          <w:p>
            <w:pPr>
              <w:pStyle w:val="TableContents"/>
              <w:bidi w:val="0"/>
              <w:spacing w:before="0" w:after="0"/>
              <w:ind w:left="0" w:right="0" w:hanging="0"/>
              <w:jc w:val="left"/>
              <w:rPr>
                <w:color w:val="231F20"/>
              </w:rPr>
            </w:pPr>
            <w:r>
              <w:rPr>
                <w:color w:val="231F20"/>
              </w:rPr>
              <w:t> </w:t>
            </w:r>
          </w:p>
        </w:tc>
        <w:tc>
          <w:tcPr>
            <w:tcW w:w="129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328,472</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Amortization (accretion) of premiums and discounts</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2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30"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(20,972)</w:t>
            </w:r>
          </w:p>
        </w:tc>
        <w:tc>
          <w:tcPr>
            <w:tcW w:w="350"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2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(258,498)</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Provision for credit losses</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26" w:type="dxa"/>
            <w:tcBorders/>
            <w:vAlign w:val="center"/>
          </w:tcPr>
          <w:p>
            <w:pPr>
              <w:pStyle w:val="TableContents"/>
              <w:bidi w:val="0"/>
              <w:spacing w:before="0" w:after="0"/>
              <w:ind w:left="0" w:right="0" w:hanging="0"/>
              <w:jc w:val="left"/>
              <w:rPr>
                <w:color w:val="231F20"/>
              </w:rPr>
            </w:pPr>
            <w:r>
              <w:rPr>
                <w:color w:val="231F20"/>
              </w:rPr>
              <w:t> </w:t>
            </w:r>
          </w:p>
        </w:tc>
        <w:tc>
          <w:tcPr>
            <w:tcW w:w="1130"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405,000</w:t>
            </w:r>
          </w:p>
        </w:tc>
        <w:tc>
          <w:tcPr>
            <w:tcW w:w="350" w:type="dxa"/>
            <w:tcBorders/>
            <w:vAlign w:val="center"/>
          </w:tcPr>
          <w:p>
            <w:pPr>
              <w:pStyle w:val="TableContents"/>
              <w:bidi w:val="0"/>
              <w:spacing w:before="0" w:after="0"/>
              <w:ind w:left="0" w:right="0" w:hanging="0"/>
              <w:jc w:val="left"/>
              <w:rPr>
                <w:color w:val="231F20"/>
              </w:rPr>
            </w:pPr>
            <w:r>
              <w:rPr>
                <w:color w:val="231F20"/>
              </w:rPr>
              <w:t>​</w:t>
            </w:r>
          </w:p>
        </w:tc>
        <w:tc>
          <w:tcPr>
            <w:tcW w:w="226" w:type="dxa"/>
            <w:tcBorders/>
            <w:vAlign w:val="center"/>
          </w:tcPr>
          <w:p>
            <w:pPr>
              <w:pStyle w:val="TableContents"/>
              <w:bidi w:val="0"/>
              <w:spacing w:before="0" w:after="0"/>
              <w:ind w:left="0" w:right="0" w:hanging="0"/>
              <w:jc w:val="left"/>
              <w:rPr>
                <w:color w:val="231F20"/>
              </w:rPr>
            </w:pPr>
            <w:r>
              <w:rPr>
                <w:color w:val="231F20"/>
              </w:rPr>
              <w:t> </w:t>
            </w:r>
          </w:p>
        </w:tc>
        <w:tc>
          <w:tcPr>
            <w:tcW w:w="129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351,000</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Amortization of core deposit intangible</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2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30"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138,000</w:t>
            </w:r>
          </w:p>
        </w:tc>
        <w:tc>
          <w:tcPr>
            <w:tcW w:w="350"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2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138,000</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Accretion of Loan credit and yield adjustment</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26" w:type="dxa"/>
            <w:tcBorders/>
            <w:vAlign w:val="center"/>
          </w:tcPr>
          <w:p>
            <w:pPr>
              <w:pStyle w:val="TableContents"/>
              <w:bidi w:val="0"/>
              <w:spacing w:before="0" w:after="0"/>
              <w:ind w:left="0" w:right="0" w:hanging="0"/>
              <w:jc w:val="left"/>
              <w:rPr>
                <w:color w:val="231F20"/>
              </w:rPr>
            </w:pPr>
            <w:r>
              <w:rPr>
                <w:color w:val="231F20"/>
              </w:rPr>
              <w:t> </w:t>
            </w:r>
          </w:p>
        </w:tc>
        <w:tc>
          <w:tcPr>
            <w:tcW w:w="1130"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(35,702)</w:t>
            </w:r>
          </w:p>
        </w:tc>
        <w:tc>
          <w:tcPr>
            <w:tcW w:w="350" w:type="dxa"/>
            <w:tcBorders/>
            <w:vAlign w:val="center"/>
          </w:tcPr>
          <w:p>
            <w:pPr>
              <w:pStyle w:val="TableContents"/>
              <w:bidi w:val="0"/>
              <w:spacing w:before="0" w:after="0"/>
              <w:ind w:left="0" w:right="0" w:hanging="0"/>
              <w:jc w:val="left"/>
              <w:rPr>
                <w:color w:val="231F20"/>
              </w:rPr>
            </w:pPr>
            <w:r>
              <w:rPr>
                <w:color w:val="231F20"/>
              </w:rPr>
              <w:t>​</w:t>
            </w:r>
          </w:p>
        </w:tc>
        <w:tc>
          <w:tcPr>
            <w:tcW w:w="226" w:type="dxa"/>
            <w:tcBorders/>
            <w:vAlign w:val="center"/>
          </w:tcPr>
          <w:p>
            <w:pPr>
              <w:pStyle w:val="TableContents"/>
              <w:bidi w:val="0"/>
              <w:spacing w:before="0" w:after="0"/>
              <w:ind w:left="0" w:right="0" w:hanging="0"/>
              <w:jc w:val="left"/>
              <w:rPr>
                <w:color w:val="231F20"/>
              </w:rPr>
            </w:pPr>
            <w:r>
              <w:rPr>
                <w:color w:val="231F20"/>
              </w:rPr>
              <w:t> </w:t>
            </w:r>
          </w:p>
        </w:tc>
        <w:tc>
          <w:tcPr>
            <w:tcW w:w="129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(28,775)</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Gain on sale of ORE</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2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30"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50"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2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(118,750)</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Increase in cash surrender value of bank-owned life insurance</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26" w:type="dxa"/>
            <w:tcBorders/>
            <w:vAlign w:val="center"/>
          </w:tcPr>
          <w:p>
            <w:pPr>
              <w:pStyle w:val="TableContents"/>
              <w:bidi w:val="0"/>
              <w:spacing w:before="0" w:after="0"/>
              <w:ind w:left="0" w:right="0" w:hanging="0"/>
              <w:jc w:val="left"/>
              <w:rPr>
                <w:color w:val="231F20"/>
              </w:rPr>
            </w:pPr>
            <w:r>
              <w:rPr>
                <w:color w:val="231F20"/>
              </w:rPr>
              <w:t> </w:t>
            </w:r>
          </w:p>
        </w:tc>
        <w:tc>
          <w:tcPr>
            <w:tcW w:w="1130"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(490,117)</w:t>
            </w:r>
          </w:p>
        </w:tc>
        <w:tc>
          <w:tcPr>
            <w:tcW w:w="350" w:type="dxa"/>
            <w:tcBorders/>
            <w:vAlign w:val="center"/>
          </w:tcPr>
          <w:p>
            <w:pPr>
              <w:pStyle w:val="TableContents"/>
              <w:bidi w:val="0"/>
              <w:spacing w:before="0" w:after="0"/>
              <w:ind w:left="0" w:right="0" w:hanging="0"/>
              <w:jc w:val="left"/>
              <w:rPr>
                <w:color w:val="231F20"/>
              </w:rPr>
            </w:pPr>
            <w:r>
              <w:rPr>
                <w:color w:val="231F20"/>
              </w:rPr>
              <w:t>​</w:t>
            </w:r>
          </w:p>
        </w:tc>
        <w:tc>
          <w:tcPr>
            <w:tcW w:w="226" w:type="dxa"/>
            <w:tcBorders/>
            <w:vAlign w:val="center"/>
          </w:tcPr>
          <w:p>
            <w:pPr>
              <w:pStyle w:val="TableContents"/>
              <w:bidi w:val="0"/>
              <w:spacing w:before="0" w:after="0"/>
              <w:ind w:left="0" w:right="0" w:hanging="0"/>
              <w:jc w:val="left"/>
              <w:rPr>
                <w:color w:val="231F20"/>
              </w:rPr>
            </w:pPr>
            <w:r>
              <w:rPr>
                <w:color w:val="231F20"/>
              </w:rPr>
              <w:t> </w:t>
            </w:r>
          </w:p>
        </w:tc>
        <w:tc>
          <w:tcPr>
            <w:tcW w:w="129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(253,406)</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Change in other assets</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2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30"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(861,440)</w:t>
            </w:r>
          </w:p>
        </w:tc>
        <w:tc>
          <w:tcPr>
            <w:tcW w:w="350"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2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(835,034)</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Change in accrued interest receivable</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26" w:type="dxa"/>
            <w:tcBorders/>
            <w:vAlign w:val="center"/>
          </w:tcPr>
          <w:p>
            <w:pPr>
              <w:pStyle w:val="TableContents"/>
              <w:bidi w:val="0"/>
              <w:spacing w:before="0" w:after="0"/>
              <w:ind w:left="0" w:right="0" w:hanging="0"/>
              <w:jc w:val="left"/>
              <w:rPr>
                <w:color w:val="231F20"/>
              </w:rPr>
            </w:pPr>
            <w:r>
              <w:rPr>
                <w:color w:val="231F20"/>
              </w:rPr>
              <w:t> </w:t>
            </w:r>
          </w:p>
        </w:tc>
        <w:tc>
          <w:tcPr>
            <w:tcW w:w="1130"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88,001</w:t>
            </w:r>
          </w:p>
        </w:tc>
        <w:tc>
          <w:tcPr>
            <w:tcW w:w="350" w:type="dxa"/>
            <w:tcBorders/>
            <w:vAlign w:val="center"/>
          </w:tcPr>
          <w:p>
            <w:pPr>
              <w:pStyle w:val="TableContents"/>
              <w:bidi w:val="0"/>
              <w:spacing w:before="0" w:after="0"/>
              <w:ind w:left="0" w:right="0" w:hanging="0"/>
              <w:jc w:val="left"/>
              <w:rPr>
                <w:color w:val="231F20"/>
              </w:rPr>
            </w:pPr>
            <w:r>
              <w:rPr>
                <w:color w:val="231F20"/>
              </w:rPr>
              <w:t>​</w:t>
            </w:r>
          </w:p>
        </w:tc>
        <w:tc>
          <w:tcPr>
            <w:tcW w:w="226" w:type="dxa"/>
            <w:tcBorders/>
            <w:vAlign w:val="center"/>
          </w:tcPr>
          <w:p>
            <w:pPr>
              <w:pStyle w:val="TableContents"/>
              <w:bidi w:val="0"/>
              <w:spacing w:before="0" w:after="0"/>
              <w:ind w:left="0" w:right="0" w:hanging="0"/>
              <w:jc w:val="left"/>
              <w:rPr>
                <w:color w:val="231F20"/>
              </w:rPr>
            </w:pPr>
            <w:r>
              <w:rPr>
                <w:color w:val="231F20"/>
              </w:rPr>
              <w:t> </w:t>
            </w:r>
          </w:p>
        </w:tc>
        <w:tc>
          <w:tcPr>
            <w:tcW w:w="129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(90,631)</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Deferred income tax benefit</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2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30"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(101,894)</w:t>
            </w:r>
          </w:p>
        </w:tc>
        <w:tc>
          <w:tcPr>
            <w:tcW w:w="350"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2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(330,139)</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Change in accounts payable and accrued expenses</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11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413,220</w:t>
            </w:r>
          </w:p>
        </w:tc>
        <w:tc>
          <w:tcPr>
            <w:tcW w:w="350" w:type="dxa"/>
            <w:tcBorders/>
            <w:vAlign w:val="center"/>
          </w:tcPr>
          <w:p>
            <w:pPr>
              <w:pStyle w:val="TableContents"/>
              <w:bidi w:val="0"/>
              <w:spacing w:before="0" w:after="0"/>
              <w:ind w:left="0" w:right="0" w:hanging="0"/>
              <w:jc w:val="left"/>
              <w:rPr>
                <w:color w:val="231F20"/>
              </w:rPr>
            </w:pPr>
            <w:r>
              <w:rPr>
                <w:color w:val="231F20"/>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1,314,174</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Net cash flows from operating activities</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11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(24,998)</w:t>
            </w:r>
          </w:p>
        </w:tc>
        <w:tc>
          <w:tcPr>
            <w:tcW w:w="350"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12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(1,319,515)</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Net cash flows provided by (used in) investing activities:</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26" w:type="dxa"/>
            <w:tcBorders/>
            <w:vAlign w:val="center"/>
          </w:tcPr>
          <w:p>
            <w:pPr>
              <w:pStyle w:val="TableContents"/>
              <w:bidi w:val="0"/>
              <w:spacing w:before="0" w:after="0"/>
              <w:ind w:left="0" w:right="0" w:hanging="0"/>
              <w:jc w:val="left"/>
              <w:rPr>
                <w:color w:val="231F20"/>
              </w:rPr>
            </w:pPr>
            <w:r>
              <w:rPr>
                <w:color w:val="231F20"/>
              </w:rPr>
              <w:t> </w:t>
            </w:r>
          </w:p>
        </w:tc>
        <w:tc>
          <w:tcPr>
            <w:tcW w:w="1130" w:type="dxa"/>
            <w:tcBorders/>
            <w:vAlign w:val="center"/>
          </w:tcPr>
          <w:p>
            <w:pPr>
              <w:pStyle w:val="TableContents"/>
              <w:bidi w:val="0"/>
              <w:spacing w:before="0" w:after="0"/>
              <w:ind w:left="0" w:right="0" w:hanging="0"/>
              <w:jc w:val="right"/>
              <w:rPr>
                <w:color w:val="231F20"/>
              </w:rPr>
            </w:pPr>
            <w:r>
              <w:rPr>
                <w:color w:val="231F20"/>
              </w:rPr>
              <w:t>  </w:t>
            </w:r>
          </w:p>
        </w:tc>
        <w:tc>
          <w:tcPr>
            <w:tcW w:w="350" w:type="dxa"/>
            <w:tcBorders/>
            <w:vAlign w:val="center"/>
          </w:tcPr>
          <w:p>
            <w:pPr>
              <w:pStyle w:val="TableContents"/>
              <w:bidi w:val="0"/>
              <w:spacing w:before="0" w:after="0"/>
              <w:ind w:left="0" w:right="0" w:hanging="0"/>
              <w:jc w:val="left"/>
              <w:rPr>
                <w:color w:val="231F20"/>
              </w:rPr>
            </w:pPr>
            <w:r>
              <w:rPr>
                <w:color w:val="231F20"/>
              </w:rPr>
              <w:t>​</w:t>
            </w:r>
          </w:p>
        </w:tc>
        <w:tc>
          <w:tcPr>
            <w:tcW w:w="226" w:type="dxa"/>
            <w:tcBorders/>
            <w:vAlign w:val="center"/>
          </w:tcPr>
          <w:p>
            <w:pPr>
              <w:pStyle w:val="TableContents"/>
              <w:bidi w:val="0"/>
              <w:spacing w:before="0" w:after="0"/>
              <w:ind w:left="0" w:right="0" w:hanging="0"/>
              <w:jc w:val="left"/>
              <w:rPr>
                <w:color w:val="231F20"/>
              </w:rPr>
            </w:pPr>
            <w:r>
              <w:rPr>
                <w:color w:val="231F20"/>
              </w:rPr>
              <w:t> </w:t>
            </w:r>
          </w:p>
        </w:tc>
        <w:tc>
          <w:tcPr>
            <w:tcW w:w="1291" w:type="dxa"/>
            <w:tcBorders/>
            <w:vAlign w:val="center"/>
          </w:tcPr>
          <w:p>
            <w:pPr>
              <w:pStyle w:val="TableContents"/>
              <w:bidi w:val="0"/>
              <w:spacing w:before="0" w:after="0"/>
              <w:ind w:left="0" w:right="0" w:hanging="0"/>
              <w:jc w:val="right"/>
              <w:rPr>
                <w:color w:val="231F20"/>
              </w:rPr>
            </w:pPr>
            <w:r>
              <w:rPr>
                <w:color w:val="231F20"/>
              </w:rPr>
              <w:t>  </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Purchase of BOLI</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2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30"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50"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2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(4,820,146)</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Redemption from BOLI</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26" w:type="dxa"/>
            <w:tcBorders/>
            <w:vAlign w:val="center"/>
          </w:tcPr>
          <w:p>
            <w:pPr>
              <w:pStyle w:val="TableContents"/>
              <w:bidi w:val="0"/>
              <w:spacing w:before="0" w:after="0"/>
              <w:ind w:left="0" w:right="0" w:hanging="0"/>
              <w:jc w:val="left"/>
              <w:rPr>
                <w:color w:val="231F20"/>
              </w:rPr>
            </w:pPr>
            <w:r>
              <w:rPr>
                <w:color w:val="231F20"/>
              </w:rPr>
              <w:t> </w:t>
            </w:r>
          </w:p>
        </w:tc>
        <w:tc>
          <w:tcPr>
            <w:tcW w:w="1130"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2,697,344</w:t>
            </w:r>
          </w:p>
        </w:tc>
        <w:tc>
          <w:tcPr>
            <w:tcW w:w="350" w:type="dxa"/>
            <w:tcBorders/>
            <w:vAlign w:val="center"/>
          </w:tcPr>
          <w:p>
            <w:pPr>
              <w:pStyle w:val="TableContents"/>
              <w:bidi w:val="0"/>
              <w:spacing w:before="0" w:after="0"/>
              <w:ind w:left="0" w:right="0" w:hanging="0"/>
              <w:jc w:val="left"/>
              <w:rPr>
                <w:color w:val="231F20"/>
              </w:rPr>
            </w:pPr>
            <w:r>
              <w:rPr>
                <w:color w:val="231F20"/>
              </w:rPr>
              <w:t>​</w:t>
            </w:r>
          </w:p>
        </w:tc>
        <w:tc>
          <w:tcPr>
            <w:tcW w:w="226" w:type="dxa"/>
            <w:tcBorders/>
            <w:vAlign w:val="center"/>
          </w:tcPr>
          <w:p>
            <w:pPr>
              <w:pStyle w:val="TableContents"/>
              <w:bidi w:val="0"/>
              <w:spacing w:before="0" w:after="0"/>
              <w:ind w:left="0" w:right="0" w:hanging="0"/>
              <w:jc w:val="left"/>
              <w:rPr>
                <w:color w:val="231F20"/>
              </w:rPr>
            </w:pPr>
            <w:r>
              <w:rPr>
                <w:color w:val="231F20"/>
              </w:rPr>
              <w:t> </w:t>
            </w:r>
          </w:p>
        </w:tc>
        <w:tc>
          <w:tcPr>
            <w:tcW w:w="129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1,566,873</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Proceeds from maturities of certificates of deposit</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2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30"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1,350,000</w:t>
            </w:r>
          </w:p>
        </w:tc>
        <w:tc>
          <w:tcPr>
            <w:tcW w:w="350"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2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1,350,000</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Purchase of certificates of deposit</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26" w:type="dxa"/>
            <w:tcBorders/>
            <w:vAlign w:val="center"/>
          </w:tcPr>
          <w:p>
            <w:pPr>
              <w:pStyle w:val="TableContents"/>
              <w:bidi w:val="0"/>
              <w:spacing w:before="0" w:after="0"/>
              <w:ind w:left="0" w:right="0" w:hanging="0"/>
              <w:jc w:val="left"/>
              <w:rPr>
                <w:color w:val="231F20"/>
              </w:rPr>
            </w:pPr>
            <w:r>
              <w:rPr>
                <w:color w:val="231F20"/>
              </w:rPr>
              <w:t> </w:t>
            </w:r>
          </w:p>
        </w:tc>
        <w:tc>
          <w:tcPr>
            <w:tcW w:w="1130"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(870,000)</w:t>
            </w:r>
          </w:p>
        </w:tc>
        <w:tc>
          <w:tcPr>
            <w:tcW w:w="350" w:type="dxa"/>
            <w:tcBorders/>
            <w:vAlign w:val="center"/>
          </w:tcPr>
          <w:p>
            <w:pPr>
              <w:pStyle w:val="TableContents"/>
              <w:bidi w:val="0"/>
              <w:spacing w:before="0" w:after="0"/>
              <w:ind w:left="0" w:right="0" w:hanging="0"/>
              <w:jc w:val="left"/>
              <w:rPr>
                <w:color w:val="231F20"/>
              </w:rPr>
            </w:pPr>
            <w:r>
              <w:rPr>
                <w:color w:val="231F20"/>
              </w:rPr>
              <w:t>​</w:t>
            </w:r>
          </w:p>
        </w:tc>
        <w:tc>
          <w:tcPr>
            <w:tcW w:w="226" w:type="dxa"/>
            <w:tcBorders/>
            <w:vAlign w:val="center"/>
          </w:tcPr>
          <w:p>
            <w:pPr>
              <w:pStyle w:val="TableContents"/>
              <w:bidi w:val="0"/>
              <w:spacing w:before="0" w:after="0"/>
              <w:ind w:left="0" w:right="0" w:hanging="0"/>
              <w:jc w:val="left"/>
              <w:rPr>
                <w:color w:val="231F20"/>
              </w:rPr>
            </w:pPr>
            <w:r>
              <w:rPr>
                <w:color w:val="231F20"/>
              </w:rPr>
              <w:t> </w:t>
            </w:r>
          </w:p>
        </w:tc>
        <w:tc>
          <w:tcPr>
            <w:tcW w:w="129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(1,350,000)</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Proceeds from repayment of available-for-sale securities</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2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30"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13,710,614</w:t>
            </w:r>
          </w:p>
        </w:tc>
        <w:tc>
          <w:tcPr>
            <w:tcW w:w="350"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2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13,744,724</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Repayment of held-to-maturity securities</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26" w:type="dxa"/>
            <w:tcBorders/>
            <w:vAlign w:val="center"/>
          </w:tcPr>
          <w:p>
            <w:pPr>
              <w:pStyle w:val="TableContents"/>
              <w:bidi w:val="0"/>
              <w:spacing w:before="0" w:after="0"/>
              <w:ind w:left="0" w:right="0" w:hanging="0"/>
              <w:jc w:val="left"/>
              <w:rPr>
                <w:color w:val="231F20"/>
              </w:rPr>
            </w:pPr>
            <w:r>
              <w:rPr>
                <w:color w:val="231F20"/>
              </w:rPr>
              <w:t> </w:t>
            </w:r>
          </w:p>
        </w:tc>
        <w:tc>
          <w:tcPr>
            <w:tcW w:w="1130"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4,238,766</w:t>
            </w:r>
          </w:p>
        </w:tc>
        <w:tc>
          <w:tcPr>
            <w:tcW w:w="350" w:type="dxa"/>
            <w:tcBorders/>
            <w:vAlign w:val="center"/>
          </w:tcPr>
          <w:p>
            <w:pPr>
              <w:pStyle w:val="TableContents"/>
              <w:bidi w:val="0"/>
              <w:spacing w:before="0" w:after="0"/>
              <w:ind w:left="0" w:right="0" w:hanging="0"/>
              <w:jc w:val="left"/>
              <w:rPr>
                <w:color w:val="231F20"/>
              </w:rPr>
            </w:pPr>
            <w:r>
              <w:rPr>
                <w:color w:val="231F20"/>
              </w:rPr>
              <w:t>​</w:t>
            </w:r>
          </w:p>
        </w:tc>
        <w:tc>
          <w:tcPr>
            <w:tcW w:w="226" w:type="dxa"/>
            <w:tcBorders/>
            <w:vAlign w:val="center"/>
          </w:tcPr>
          <w:p>
            <w:pPr>
              <w:pStyle w:val="TableContents"/>
              <w:bidi w:val="0"/>
              <w:spacing w:before="0" w:after="0"/>
              <w:ind w:left="0" w:right="0" w:hanging="0"/>
              <w:jc w:val="left"/>
              <w:rPr>
                <w:color w:val="231F20"/>
              </w:rPr>
            </w:pPr>
            <w:r>
              <w:rPr>
                <w:color w:val="231F20"/>
              </w:rPr>
              <w:t> </w:t>
            </w:r>
          </w:p>
        </w:tc>
        <w:tc>
          <w:tcPr>
            <w:tcW w:w="129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19,207,898</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Change in loans receivable</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2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30"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(9,571,670)</w:t>
            </w:r>
          </w:p>
        </w:tc>
        <w:tc>
          <w:tcPr>
            <w:tcW w:w="350"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2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(24,080,895)</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Proceeds from sale of ORE</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26" w:type="dxa"/>
            <w:tcBorders/>
            <w:vAlign w:val="center"/>
          </w:tcPr>
          <w:p>
            <w:pPr>
              <w:pStyle w:val="TableContents"/>
              <w:bidi w:val="0"/>
              <w:spacing w:before="0" w:after="0"/>
              <w:ind w:left="0" w:right="0" w:hanging="0"/>
              <w:jc w:val="left"/>
              <w:rPr>
                <w:color w:val="231F20"/>
              </w:rPr>
            </w:pPr>
            <w:r>
              <w:rPr>
                <w:color w:val="231F20"/>
              </w:rPr>
              <w:t> </w:t>
            </w:r>
          </w:p>
        </w:tc>
        <w:tc>
          <w:tcPr>
            <w:tcW w:w="1130" w:type="dxa"/>
            <w:tcBorders/>
            <w:vAlign w:val="center"/>
          </w:tcPr>
          <w:p>
            <w:pPr>
              <w:pStyle w:val="TableContents"/>
              <w:bidi w:val="0"/>
              <w:spacing w:before="0" w:after="0"/>
              <w:ind w:left="0" w:right="0" w:hanging="0"/>
              <w:jc w:val="right"/>
              <w:rPr>
                <w:color w:val="231F20"/>
              </w:rPr>
            </w:pPr>
            <w:r>
              <w:rPr>
                <w:color w:val="231F20"/>
              </w:rPr>
              <w:t>—</w:t>
            </w:r>
          </w:p>
        </w:tc>
        <w:tc>
          <w:tcPr>
            <w:tcW w:w="350" w:type="dxa"/>
            <w:tcBorders/>
            <w:vAlign w:val="center"/>
          </w:tcPr>
          <w:p>
            <w:pPr>
              <w:pStyle w:val="TableContents"/>
              <w:bidi w:val="0"/>
              <w:spacing w:before="0" w:after="0"/>
              <w:ind w:left="0" w:right="0" w:hanging="0"/>
              <w:jc w:val="left"/>
              <w:rPr>
                <w:color w:val="231F20"/>
              </w:rPr>
            </w:pPr>
            <w:r>
              <w:rPr>
                <w:color w:val="231F20"/>
              </w:rPr>
              <w:t>​</w:t>
            </w:r>
          </w:p>
        </w:tc>
        <w:tc>
          <w:tcPr>
            <w:tcW w:w="226" w:type="dxa"/>
            <w:tcBorders/>
            <w:vAlign w:val="center"/>
          </w:tcPr>
          <w:p>
            <w:pPr>
              <w:pStyle w:val="TableContents"/>
              <w:bidi w:val="0"/>
              <w:spacing w:before="0" w:after="0"/>
              <w:ind w:left="0" w:right="0" w:hanging="0"/>
              <w:jc w:val="left"/>
              <w:rPr>
                <w:color w:val="231F20"/>
              </w:rPr>
            </w:pPr>
            <w:r>
              <w:rPr>
                <w:color w:val="231F20"/>
              </w:rPr>
              <w:t> </w:t>
            </w:r>
          </w:p>
        </w:tc>
        <w:tc>
          <w:tcPr>
            <w:tcW w:w="129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318,750</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Purchase of premises and equipment</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11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(438,043)</w:t>
            </w:r>
          </w:p>
        </w:tc>
        <w:tc>
          <w:tcPr>
            <w:tcW w:w="350"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12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(724,015)</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Net cash flows provided by (used in) investing activities</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11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11,117,011</w:t>
            </w:r>
          </w:p>
        </w:tc>
        <w:tc>
          <w:tcPr>
            <w:tcW w:w="350" w:type="dxa"/>
            <w:tcBorders/>
            <w:vAlign w:val="center"/>
          </w:tcPr>
          <w:p>
            <w:pPr>
              <w:pStyle w:val="TableContents"/>
              <w:bidi w:val="0"/>
              <w:spacing w:before="0" w:after="0"/>
              <w:ind w:left="0" w:right="0" w:hanging="0"/>
              <w:jc w:val="left"/>
              <w:rPr>
                <w:color w:val="231F20"/>
              </w:rPr>
            </w:pPr>
            <w:r>
              <w:rPr>
                <w:color w:val="231F20"/>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5,213,189</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Net cash flows from financing activities:</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2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30" w:type="dxa"/>
            <w:tcBorders/>
            <w:shd w:fill="CCEEFF" w:val="clear"/>
            <w:vAlign w:val="center"/>
          </w:tcPr>
          <w:p>
            <w:pPr>
              <w:pStyle w:val="TableContents"/>
              <w:bidi w:val="0"/>
              <w:spacing w:before="0" w:after="0"/>
              <w:ind w:left="0" w:right="0" w:hanging="0"/>
              <w:jc w:val="right"/>
              <w:rPr>
                <w:color w:val="231F20"/>
              </w:rPr>
            </w:pPr>
            <w:r>
              <w:rPr>
                <w:color w:val="231F20"/>
              </w:rPr>
              <w:t>  </w:t>
            </w:r>
          </w:p>
        </w:tc>
        <w:tc>
          <w:tcPr>
            <w:tcW w:w="350"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2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291" w:type="dxa"/>
            <w:tcBorders/>
            <w:shd w:fill="CCEEFF" w:val="clear"/>
            <w:vAlign w:val="center"/>
          </w:tcPr>
          <w:p>
            <w:pPr>
              <w:pStyle w:val="TableContents"/>
              <w:bidi w:val="0"/>
              <w:spacing w:before="0" w:after="0"/>
              <w:ind w:left="0" w:right="0" w:hanging="0"/>
              <w:jc w:val="right"/>
              <w:rPr>
                <w:color w:val="231F20"/>
              </w:rPr>
            </w:pPr>
            <w:r>
              <w:rPr>
                <w:color w:val="231F20"/>
              </w:rPr>
              <w:t>  </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Change in deposit accounts</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26" w:type="dxa"/>
            <w:tcBorders/>
            <w:vAlign w:val="center"/>
          </w:tcPr>
          <w:p>
            <w:pPr>
              <w:pStyle w:val="TableContents"/>
              <w:bidi w:val="0"/>
              <w:spacing w:before="0" w:after="0"/>
              <w:ind w:left="0" w:right="0" w:hanging="0"/>
              <w:jc w:val="left"/>
              <w:rPr>
                <w:color w:val="231F20"/>
              </w:rPr>
            </w:pPr>
            <w:r>
              <w:rPr>
                <w:color w:val="231F20"/>
              </w:rPr>
              <w:t> </w:t>
            </w:r>
          </w:p>
        </w:tc>
        <w:tc>
          <w:tcPr>
            <w:tcW w:w="1130"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(471,404)</w:t>
            </w:r>
          </w:p>
        </w:tc>
        <w:tc>
          <w:tcPr>
            <w:tcW w:w="350" w:type="dxa"/>
            <w:tcBorders/>
            <w:vAlign w:val="center"/>
          </w:tcPr>
          <w:p>
            <w:pPr>
              <w:pStyle w:val="TableContents"/>
              <w:bidi w:val="0"/>
              <w:spacing w:before="0" w:after="0"/>
              <w:ind w:left="0" w:right="0" w:hanging="0"/>
              <w:jc w:val="left"/>
              <w:rPr>
                <w:color w:val="231F20"/>
              </w:rPr>
            </w:pPr>
            <w:r>
              <w:rPr>
                <w:color w:val="231F20"/>
              </w:rPr>
              <w:t>​</w:t>
            </w:r>
          </w:p>
        </w:tc>
        <w:tc>
          <w:tcPr>
            <w:tcW w:w="226" w:type="dxa"/>
            <w:tcBorders/>
            <w:vAlign w:val="center"/>
          </w:tcPr>
          <w:p>
            <w:pPr>
              <w:pStyle w:val="TableContents"/>
              <w:bidi w:val="0"/>
              <w:spacing w:before="0" w:after="0"/>
              <w:ind w:left="0" w:right="0" w:hanging="0"/>
              <w:jc w:val="left"/>
              <w:rPr>
                <w:color w:val="231F20"/>
              </w:rPr>
            </w:pPr>
            <w:r>
              <w:rPr>
                <w:color w:val="231F20"/>
              </w:rPr>
              <w:t> </w:t>
            </w:r>
          </w:p>
        </w:tc>
        <w:tc>
          <w:tcPr>
            <w:tcW w:w="129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(9,471,161)</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Change in advances from borrowers for taxes and insurance</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11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980,461</w:t>
            </w:r>
          </w:p>
        </w:tc>
        <w:tc>
          <w:tcPr>
            <w:tcW w:w="350"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12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(863,723)</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Net cash flows provided by (used in) financing activities</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11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509,057</w:t>
            </w:r>
          </w:p>
        </w:tc>
        <w:tc>
          <w:tcPr>
            <w:tcW w:w="350" w:type="dxa"/>
            <w:tcBorders/>
            <w:vAlign w:val="center"/>
          </w:tcPr>
          <w:p>
            <w:pPr>
              <w:pStyle w:val="TableContents"/>
              <w:bidi w:val="0"/>
              <w:spacing w:before="0" w:after="0"/>
              <w:ind w:left="0" w:right="0" w:hanging="0"/>
              <w:jc w:val="left"/>
              <w:rPr>
                <w:color w:val="231F20"/>
              </w:rPr>
            </w:pPr>
            <w:r>
              <w:rPr>
                <w:color w:val="231F20"/>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(10,334,884)</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Net change in cash and cash equivalents</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2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30"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11,601,070</w:t>
            </w:r>
          </w:p>
        </w:tc>
        <w:tc>
          <w:tcPr>
            <w:tcW w:w="350"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2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(6,441,210)</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Cash and cash equivalents:</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26" w:type="dxa"/>
            <w:tcBorders/>
            <w:vAlign w:val="center"/>
          </w:tcPr>
          <w:p>
            <w:pPr>
              <w:pStyle w:val="TableContents"/>
              <w:bidi w:val="0"/>
              <w:spacing w:before="0" w:after="0"/>
              <w:ind w:left="0" w:right="0" w:hanging="0"/>
              <w:jc w:val="left"/>
              <w:rPr>
                <w:color w:val="231F20"/>
              </w:rPr>
            </w:pPr>
            <w:r>
              <w:rPr>
                <w:color w:val="231F20"/>
              </w:rPr>
              <w:t> </w:t>
            </w:r>
          </w:p>
        </w:tc>
        <w:tc>
          <w:tcPr>
            <w:tcW w:w="1130" w:type="dxa"/>
            <w:tcBorders/>
            <w:vAlign w:val="center"/>
          </w:tcPr>
          <w:p>
            <w:pPr>
              <w:pStyle w:val="TableContents"/>
              <w:bidi w:val="0"/>
              <w:spacing w:before="0" w:after="0"/>
              <w:ind w:left="0" w:right="0" w:hanging="0"/>
              <w:jc w:val="right"/>
              <w:rPr>
                <w:color w:val="231F20"/>
              </w:rPr>
            </w:pPr>
            <w:r>
              <w:rPr>
                <w:color w:val="231F20"/>
              </w:rPr>
              <w:t>  </w:t>
            </w:r>
          </w:p>
        </w:tc>
        <w:tc>
          <w:tcPr>
            <w:tcW w:w="350" w:type="dxa"/>
            <w:tcBorders/>
            <w:vAlign w:val="center"/>
          </w:tcPr>
          <w:p>
            <w:pPr>
              <w:pStyle w:val="TableContents"/>
              <w:bidi w:val="0"/>
              <w:spacing w:before="0" w:after="0"/>
              <w:ind w:left="0" w:right="0" w:hanging="0"/>
              <w:jc w:val="left"/>
              <w:rPr>
                <w:color w:val="231F20"/>
              </w:rPr>
            </w:pPr>
            <w:r>
              <w:rPr>
                <w:color w:val="231F20"/>
              </w:rPr>
              <w:t>​</w:t>
            </w:r>
          </w:p>
        </w:tc>
        <w:tc>
          <w:tcPr>
            <w:tcW w:w="226" w:type="dxa"/>
            <w:tcBorders/>
            <w:vAlign w:val="center"/>
          </w:tcPr>
          <w:p>
            <w:pPr>
              <w:pStyle w:val="TableContents"/>
              <w:bidi w:val="0"/>
              <w:spacing w:before="0" w:after="0"/>
              <w:ind w:left="0" w:right="0" w:hanging="0"/>
              <w:jc w:val="left"/>
              <w:rPr>
                <w:color w:val="231F20"/>
              </w:rPr>
            </w:pPr>
            <w:r>
              <w:rPr>
                <w:color w:val="231F20"/>
              </w:rPr>
              <w:t> </w:t>
            </w:r>
          </w:p>
        </w:tc>
        <w:tc>
          <w:tcPr>
            <w:tcW w:w="1291" w:type="dxa"/>
            <w:tcBorders/>
            <w:vAlign w:val="center"/>
          </w:tcPr>
          <w:p>
            <w:pPr>
              <w:pStyle w:val="TableContents"/>
              <w:bidi w:val="0"/>
              <w:spacing w:before="0" w:after="0"/>
              <w:ind w:left="0" w:right="0" w:hanging="0"/>
              <w:jc w:val="right"/>
              <w:rPr>
                <w:color w:val="231F20"/>
              </w:rPr>
            </w:pPr>
            <w:r>
              <w:rPr>
                <w:color w:val="231F20"/>
              </w:rPr>
              <w:t>  </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Beginning of the period</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11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15,327,048</w:t>
            </w:r>
          </w:p>
        </w:tc>
        <w:tc>
          <w:tcPr>
            <w:tcW w:w="350"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12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24,675,453</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End of the period</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1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26,928,118</w:t>
            </w:r>
          </w:p>
        </w:tc>
        <w:tc>
          <w:tcPr>
            <w:tcW w:w="350" w:type="dxa"/>
            <w:tcBorders/>
            <w:vAlign w:val="center"/>
          </w:tcPr>
          <w:p>
            <w:pPr>
              <w:pStyle w:val="TableContents"/>
              <w:bidi w:val="0"/>
              <w:spacing w:before="0" w:after="0"/>
              <w:ind w:left="0" w:right="0" w:hanging="0"/>
              <w:jc w:val="left"/>
              <w:rPr>
                <w:color w:val="231F20"/>
              </w:rPr>
            </w:pPr>
            <w:r>
              <w:rPr>
                <w:color w:val="231F20"/>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2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18,234,243</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Supplemental cash flow information:</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0"/>
              <w:ind w:left="0" w:right="0" w:hanging="0"/>
              <w:jc w:val="right"/>
              <w:rPr/>
            </w:pPr>
            <w:r>
              <w:rPr/>
              <w:t>  </w:t>
            </w:r>
          </w:p>
        </w:tc>
        <w:tc>
          <w:tcPr>
            <w:tcW w:w="350"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291" w:type="dxa"/>
            <w:tcBorders/>
            <w:shd w:fill="CCEEFF" w:val="clear"/>
            <w:vAlign w:val="center"/>
          </w:tcPr>
          <w:p>
            <w:pPr>
              <w:pStyle w:val="TableContents"/>
              <w:bidi w:val="0"/>
              <w:spacing w:before="0" w:after="0"/>
              <w:ind w:left="0" w:right="0" w:hanging="0"/>
              <w:jc w:val="right"/>
              <w:rPr/>
            </w:pPr>
            <w:r>
              <w:rPr/>
              <w:t>  </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Cash paid during the period for Interest</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130"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4,972,186</w:t>
            </w:r>
          </w:p>
        </w:tc>
        <w:tc>
          <w:tcPr>
            <w:tcW w:w="350" w:type="dxa"/>
            <w:tcBorders/>
            <w:vAlign w:val="center"/>
          </w:tcPr>
          <w:p>
            <w:pPr>
              <w:pStyle w:val="TableContents"/>
              <w:bidi w:val="0"/>
              <w:spacing w:before="0" w:after="0"/>
              <w:ind w:left="0" w:right="0" w:hanging="0"/>
              <w:jc w:val="left"/>
              <w:rPr>
                <w:color w:val="231F20"/>
              </w:rPr>
            </w:pPr>
            <w:r>
              <w:rPr>
                <w:color w:val="231F20"/>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29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5,291,000</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Taxes paid during the period</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2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30"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50"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2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291" w:type="dxa"/>
            <w:tcBorders/>
            <w:shd w:fill="CCEEFF" w:val="clear"/>
            <w:vAlign w:val="center"/>
          </w:tcPr>
          <w:p>
            <w:pPr>
              <w:pStyle w:val="TableContents"/>
              <w:bidi w:val="0"/>
              <w:spacing w:before="0" w:after="0"/>
              <w:ind w:left="0" w:right="0" w:hanging="0"/>
              <w:jc w:val="right"/>
              <w:rPr>
                <w:color w:val="231F20"/>
              </w:rPr>
            </w:pPr>
            <w:r>
              <w:rPr>
                <w:color w:val="231F20"/>
              </w:rPr>
              <w:t>—</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Premises and Equipment transferred to ORE </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130"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729,427</w:t>
            </w:r>
          </w:p>
        </w:tc>
        <w:tc>
          <w:tcPr>
            <w:tcW w:w="35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60" w:hanging="0"/>
              <w:jc w:val="right"/>
              <w:rPr>
                <w:color w:val="231F20"/>
              </w:rPr>
            </w:pPr>
            <w:r>
              <w:rPr>
                <w:color w:val="231F20"/>
              </w:rPr>
              <w:t>—</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i/>
          <w:sz w:val="20"/>
        </w:rPr>
        <w:t>The accompanying notes are an integral part of these condensed consolidated financial statements</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422" w:name="_f786cec2_e43e_4d35_bf36_a9007e4203eb"/>
      <w:bookmarkEnd w:id="422"/>
      <w:r>
        <w:rPr>
          <w:rFonts w:ascii="Times New Roman;Times;serif" w:hAnsi="Times New Roman;Times;serif"/>
          <w:b/>
          <w:sz w:val="20"/>
        </w:rPr>
        <w:t>HOYNE SAVINGS, MHC AND SUBSIDIARIES</w:t>
      </w:r>
    </w:p>
    <w:p>
      <w:pPr>
        <w:pStyle w:val="TextBody"/>
        <w:bidi w:val="0"/>
        <w:spacing w:before="0" w:after="0"/>
        <w:ind w:left="0" w:right="0" w:hanging="0"/>
        <w:jc w:val="center"/>
        <w:rPr>
          <w:rFonts w:ascii="Times New Roman;Times;serif" w:hAnsi="Times New Roman;Times;serif"/>
          <w:b/>
          <w:sz w:val="20"/>
        </w:rPr>
      </w:pPr>
      <w:bookmarkStart w:id="423" w:name="NOTESTOTHECONSOLIDATEDFINANCIAL_203669"/>
      <w:bookmarkEnd w:id="423"/>
      <w:r>
        <w:rPr>
          <w:rFonts w:ascii="Times New Roman;Times;serif" w:hAnsi="Times New Roman;Times;serif"/>
          <w:b/>
          <w:sz w:val="20"/>
        </w:rPr>
        <w:t>NOTES TO THE CONSOLIDATED FINANCIAL STATEMENTS</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w:t>
      </w:r>
      <w:r>
        <w:rPr>
          <w:rFonts w:ascii="Times New Roman;Times;serif" w:hAnsi="Times New Roman;Times;serif"/>
          <w:b/>
          <w:sz w:val="20"/>
        </w:rPr>
        <w:t>Organization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Hoyne Savings Bank (the “Bank”), an Illinois stock institution, maintains a mutual holding company structure pursuant to regulatory laws and rules. Hoyne Financial Corporation (the “Company”), a federal stock holding company, owns the stock of the Bank. The mutual holding company, Hoyne Savings, MHC, owns the stock of the Company.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Hoyne Bancorp, Inc. was formed to serve as the stock holding company for Hoyne Savings Bank in connection with the conversion of Hoyne Savings, MHC into the stock form of organization. As of September 30, 2025, the reorganization had not yet been completed, and Hoyne Bancorp, Inc. had no assets or liabilities and had not conducted any business activities other than organizational activities. Accordingly, the unaudited consolidated financial statements and other financial information contained in this Quarterly Report on Form 10-Q relate solely to the consolidated financial results of Hoyne Savings, MHC, Hoyne Financial Corporation and Hoyne Savings Bank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unaudited consolidated financial statements and other financial information contained in this Quarterly Report on Form 10-Q should be read in conjunction with the audited consolidated financial statements and related notes of Hoyne Savings, MHC at and for the years ended December 31, 2024 and 2023 contained in Hoyne Bancorp Inc.’s definitive prospectus dated September 30, 2025 (the “Prospectus”), as filed with the Securities Exchange Commission pursuant to Securities Act Rule 424(b)(3) on October 2, 2025.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Nature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Bank operates as a single segment and offers a variety of retail deposit and lending services and is principally engaged in attracting retail deposits from the general public and investing those funds. The Bank’s principal lending products are fixed rate mortgage loans, secured by residential properties and other collateral as deemed necessary by management and commercial loans.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Summary of Significant Accounting Policies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accompanying unaudited consolidated financial statements have been prepared in conformity with accounting principals generally accepted in the United States of America (“U.S. GAAP”) and conform to practices within the banking industry. The accounting policies followed in the preparation of the interim consolidated financial statements are consistent with those used in the preparation of the annual financial statements. The interim consolidated financial statements reflect all normal and recurring adjustments that are necessary, in the opinion of management, for fair statement of results for the interim periods presented. Results for the period ended September 30, 2025 are not necessarily indicative of the results that may be expected for the year ended December 31,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Principles of Consolidation —</w:t>
      </w:r>
      <w:r>
        <w:rPr>
          <w:rFonts w:ascii="Times New Roman;Times;serif" w:hAnsi="Times New Roman;Times;serif"/>
          <w:sz w:val="20"/>
        </w:rPr>
        <w:t xml:space="preserve"> The consolidated financial statements include the accounts and results of operations of Hoyne Savings, MHC, Hoyne Financial Corporation, and Hoyne Savings Bank and Prospect Services Incorporated. Significant intercompany accounts and transactions have been eliminated in consolidation.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Use of Estimates —</w:t>
      </w:r>
      <w:r>
        <w:rPr>
          <w:rFonts w:ascii="Times New Roman;Times;serif" w:hAnsi="Times New Roman;Times;serif"/>
          <w:sz w:val="20"/>
        </w:rPr>
        <w:t xml:space="preserve"> The preparation of financial statements in accordance with accounting principles generally accepted in the United States of America requires management to make estimates and assumptions that affect the reported amounts of assets, liabilities and activities at the date of the financial statements, and during the reporting period. Actual results could differ from those estimates.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HOYNE SAVINGS, MHC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Summary of Significant Accounting Policies (continued)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Significant estimates used in the preparation of these financial statements and disclosures include the allowance for credit losses and the fair values of financial instruments. For these estimates, it is reasonably possible that the recorded amounts or related disclosures could significantly change in the near future as more information is available.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b/>
          <w:sz w:val="20"/>
        </w:rPr>
        <w:t>Cash and Cash Equivalents —</w:t>
      </w:r>
      <w:r>
        <w:rPr>
          <w:rFonts w:ascii="Times New Roman;Times;serif" w:hAnsi="Times New Roman;Times;serif"/>
          <w:sz w:val="20"/>
        </w:rPr>
        <w:t xml:space="preserve"> Cash and cash equivalents include cash on hand, demand deposits, and investment deposits with a maturity of three months or less.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b/>
          <w:sz w:val="20"/>
        </w:rPr>
        <w:t>Certificates of Deposit —</w:t>
      </w:r>
      <w:r>
        <w:rPr>
          <w:rFonts w:ascii="Times New Roman;Times;serif" w:hAnsi="Times New Roman;Times;serif"/>
          <w:sz w:val="20"/>
        </w:rPr>
        <w:t xml:space="preserve"> Interest-bearing deposits are carried at cost and consist of short term certificates of deposit held at other financial institutions.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b/>
          <w:sz w:val="20"/>
        </w:rPr>
        <w:t>Investment Securities —</w:t>
      </w:r>
      <w:r>
        <w:rPr>
          <w:rFonts w:ascii="Times New Roman;Times;serif" w:hAnsi="Times New Roman;Times;serif"/>
          <w:sz w:val="20"/>
        </w:rPr>
        <w:t xml:space="preserve"> Investment securities are classified in the following categories, and accounted for as follows (see Note 4 to the consolidated financial statements):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b/>
          <w:sz w:val="20"/>
        </w:rPr>
        <w:t>Debt Securities —</w:t>
      </w:r>
      <w:r>
        <w:rPr>
          <w:rFonts w:ascii="Times New Roman;Times;serif" w:hAnsi="Times New Roman;Times;serif"/>
          <w:sz w:val="20"/>
        </w:rPr>
        <w:t xml:space="preserve"> Debt securities that management has the positive intent and ability to hold to maturity are classified as held to maturity and recorded at amortized cost. Securities not classified as held to maturity are classified as available for sale and are carried at fair value, with unrealized gains and losses reported in other comprehensive income or loss. Amortization of premiums and accretion of discounts are recognized in interest income using the interest method. Premiums that exceed the amount repayable by the issuer at the next call date are amortized to the next call date. Other premiums and discounts are amortized (accreted) over the estimated lives of the securities. Gains and losses on the sale of securities are recorded on the trade date and determined using the specific-identification method.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Management believes the Bank will collect all amounts owed on securities held to maturity issued by the U.S. government or a U.S. government-sponsored agency since these securities are either explicitly or implicitly guaranteed by the U.S. government, are highly rated by major rating agencies, and have a long history of no credit losses. Management evaluates all other securities held to maturity using a probability of default method. The probability of default method estimates the probability a security with a certain credit rating will default during its remaining contractual term (probability of default) and how much loss is expected to be incurred if a security defaults (loss given default rate). The Bank obtains information from FHN to estimate the probability of default for each credit rating based on the remaining term of the security and the loss given default rate.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past due status of a security is based on the contractual terms in the security. The accrual of interest on a security is discontinued when the security becomes 90 days delinquent or whenever management believes the issuer will be unable to make payments as they become due. When securities are placed on nonaccrual status, all unpaid accrued interest is reversed against interest income.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Bank excludes accrued interest receivable from the amortized cost basis of both securities held to maturity and available for sale when estimating credit losses and when presenting required disclosures in the financial statements. Accrued interest on securities held to maturity totaling approximately $64,000 and $81,000 and accrued interest on securities available for sale totaling approximately $296,000 and $370,000 at September 30, 2025 and December 31, 2024, respectively, was excluded from the amortized cost basis of securities held to maturity and available for sale.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Bank evaluates individual securities available for sale in an unrealized loss position by first determining whether the decline in fair value below the amortized cost basis of the security has resulted from a credit loss or other factors. A credit loss exists when the present value of cash flows expected to be collected from the security is less than the amortized cost basis of the security. In determining whether a credit loss exists, the Bank considers the extent to which the fair value is less than the amortized cost basis, adverse conditions related to the security, the industry, or geographic areas, the payment structure of the debt security, failure of the issuer to make scheduled payments, and any changes to the rating of the security. Impairment related to credit losses is recognized through an allowance for credit losses up to the amount that fair value is less than the amortized cost basis. Changes to the allowance are recognized through earnings as a provision for (or recovery of) credit losses. Impairment related to other factors is recognized in other comprehensive income (loss).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HOYNE SAVINGS, MHC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Summary of Significant Accounting Policies (continued)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 xml:space="preserve">Stock in Federal Home Loan Bank of Chicago and Bankers Bank — </w:t>
      </w:r>
      <w:r>
        <w:rPr>
          <w:rFonts w:ascii="Times New Roman;Times;serif" w:hAnsi="Times New Roman;Times;serif"/>
          <w:sz w:val="20"/>
        </w:rPr>
        <w:t>The Bank, as a member of the Federal Home Loan Bank system is required to own a certain amount of stock based on the level of borrowings and other factors and may invest in additional amounts. Federal Home Loan Bank of Chicago (“FHLB”) stock is recorded at cost and classified as a restricted security. No readily available market exists for this stock and it has no quoted market value. Redemptions of FHLB stock are at par value. The stock is evaluated for impairment annually based on the ultimate recoverability of the par value without regard to temporary declines in value. The Bank also holds stock in Bankers Bank as part of our available funds requirement. Bankers Bank stock is recorded at cost and classified as a restricted security. Based on an evaluation of these investments as of September 30, 2025 and December 31, 2024, management is of the opinion the cost of this investment will be recovered.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Loans Receivable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Loans that management has the intent and ability to hold for the foreseeable future or until maturity or payoff generally are reported at their outstanding unpaid principal balances adjusted for purchase premiums or discounts, deferred loan fees and costs, charge-offs, and an allowance for credit losses. Interest on loans is accrued and credited to income based on the unpaid principal balance. Loan-origination fees, net of certain direct origination costs, are deferred and recognized as an adjustment of the related loan yield using the interest method.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past due status of a loan is based on the contractual terms in the loan agreement. The accrual of interest on a loan is discontinued when the loan becomes 90 days delinquent or whenever management believes the borrower will be unable to make payments as they become due. When loans are placed on nonaccrual status or charged off, all unpaid accrued interest is reversed against interest income. The interest on these loans is subsequently accounted for on the cash basis if collection of the remaining recorded investment in the loan is still expected or using the cost-recovery method when collection of the remaining recorded investment is in doubt. Loans are returned to accrual status when all the principal and interest amounts contractually due are brought current and future payments are reasonably assured.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Allowance for Credit Losses and Unfunded Commitments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allowance for credit losses on loans is a valuation allowance that is deducted from the loans’ amortized cost basis to present the net amount expected to be collected on the Bank’s loan portfolio. The allowance for credit losses on loans is established through provisions for credit losses charged against earnings. When available information confirms that specific loans, or portions thereof, are uncollectible, these amounts are charged against the allowance for credit losses on loans, and subsequent recoveries, if any, are credited to the allowance for credit losses on loans.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Management considers the following when assessing risk in the Bank’s loan portfolio segment: Commercial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Loans in this portfolio segment are primarily income-producing properties throughout the Chicago area. The underlying cash flows generated by the properties are adversely impacted by a downturn in the economy as evidenced by increased vacancy rates, which in turn, will have an effect on the credit quality in this portfolio. Management obtains rent rolls annually and continually monitors the cash flows of these loans. Loans in this segment also include those made to businesses and secured by assets of the 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Repayment is expected from operations of the business. A weakened economy, and resultant decreased consumer spending, will have an effect on the credit quality of these loans.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HOYNE SAVINGS, MHC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Summary of Significant Accounting Policies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Residential Real Estate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Loans in this portfolio segment primarily include owner-occupied 1-4 family residences secured by 1st liens. The Bank generally has 2nd liens on property securing home equity loans. The Bank generally does not originate loans with a loan-to-value ratio greater than 85% and does not generally grant loans that would be classified as subprime upon origination. All loans in this portfolio are collateralized by residential real estate and repayment is dependent on the credit quality of the individual borrower or borrowers. The overall health of the economy, including unemployment rates and housing prices, will have an effect on the credit quality in this segment.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Bank uses a current expected credit loss (“CECL”) model to estimate the allowance for credit losses on loans. The CECL model considers historical loss rates and other qualitative adjustments, as well as a new forward-looking component that considers reasonable and supportable forecasts over the expected life of each loan. To develop the allowance for credit losses on loans estimate under the CECL model, the Bank segregates the loan portfolio into loan pools based on loan type and similar credit risk elements; performs an individual evaluation of certain collateral dependent and other credit-deteriorated loans; calculates the historical loss rates for the various loan pools; applies the loss rates over the calculated life of the collectively evaluated loan pools; adjusts for forecasted macro-level economic conditions and other anticipated changes in credit quality; and determines qualitative adjustments based on factors and conditions unique to the Bank’s loan portfolio.</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the CECL model, loans that do not share similar risk characteristics with loans in their respective pools are individually evaluated for expected credit losses and are excluded from the collectively evaluated loan credit loss estimates. A loan is individually evaluated when, based on current information and events, it is probable that the Bank will be unable to collect the scheduled payments of principal or interest when due according to the contractual terms of the loan agreement. Factors considered by management in determining individual evaluation include payment status, collateral value and the probability of collecting scheduled principal and interest payments when due. Loans that experience insignificant payment delays and payment shortfalls generally are not individually evaluated.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describes the types of collateral that secure collateral dependent loans: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Commercial and industrial loans considered collateral dependent are primarily secured by accounts receivable, inventory and equipment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Commercial real estate — Construction loans are primarily secured by residential and commercial properties, which are under construction and/or redevelopment, and by raw land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Commercial real estate loans — Other are primarily secured by office and industrial buildings, warehouses, retail shopping facilities and various special purpose properties, including hotels and restaurants.</w:t>
            </w:r>
          </w:p>
        </w:tc>
      </w:tr>
    </w:tbl>
    <w:tbl>
      <w:tblPr>
        <w:tblW w:w="7836" w:type="dxa"/>
        <w:jc w:val="left"/>
        <w:tblInd w:w="0" w:type="dxa"/>
        <w:tblLayout w:type="fixed"/>
        <w:tblCellMar>
          <w:top w:w="28" w:type="dxa"/>
          <w:left w:w="28" w:type="dxa"/>
          <w:bottom w:w="28" w:type="dxa"/>
          <w:right w:w="28" w:type="dxa"/>
        </w:tblCellMar>
      </w:tblPr>
      <w:tblGrid>
        <w:gridCol w:w="124"/>
        <w:gridCol w:w="256"/>
        <w:gridCol w:w="74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Residential — First mortgages are primarily secured by first liens on residential real estate.</w:t>
            </w:r>
          </w:p>
        </w:tc>
      </w:tr>
    </w:tbl>
    <w:tbl>
      <w:tblPr>
        <w:tblW w:w="8871" w:type="dxa"/>
        <w:jc w:val="left"/>
        <w:tblInd w:w="0" w:type="dxa"/>
        <w:tblLayout w:type="fixed"/>
        <w:tblCellMar>
          <w:top w:w="28" w:type="dxa"/>
          <w:left w:w="28" w:type="dxa"/>
          <w:bottom w:w="28" w:type="dxa"/>
          <w:right w:w="28" w:type="dxa"/>
        </w:tblCellMar>
      </w:tblPr>
      <w:tblGrid>
        <w:gridCol w:w="124"/>
        <w:gridCol w:w="256"/>
        <w:gridCol w:w="84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4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Residential — Junior mortgages are primarily secured by first and junior liens on residential real estate.</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Management evaluates all collectively evaluated loan pools using the weighted average remaining life (the “remaining life”) methodology. The remaining life methodology applies calculated quarterly net loss rates to collectively evaluated loan pools on a periodic basis based on the estimated remaining life of each pool. The estimated losses under the remaining life methodology are then adjusted for qualitative factors deemed appropriate by management.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HOYNE SAVINGS, MHC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Summary of Significant Accounting Policies (continued)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estimated remaining life of each pool is determined using quarterly, pool-based attrition measurements using the Bank’s loan-level historical data. The Bank’s historical call report data is utilized for historical loss rate calculations, and the lookback period for each collectively evaluated loan pool is determined by management based upon the estimated remaining life of the pool. Forecasted historical loss rates are calculated using the Bank’s historical data based on the lookback, forecast, and reversion period inputs by management. Management elected to utilize peer group loss rates to supplement the Bank’s data to provide a forecasted market adjustment.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quantitative analysis under the remaining life methodology is supplemented with other qualitative factors based on the risks management determines are present for each collectively evaluated loan pool. The Qualitative Adjustment factor is intended to embody a forecasting component based on an independent economic metric. The Bank has selected for this component regional unemployment for consumer portfolio segments and regional gross domestic product for non-consumer portfolio segments.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Bank excludes accrued interest receivable from the amortized cost basis of loans when estimating credit losses and when presenting required disclosures in the financial statements. Accrued interest on loans totaling approximately $1,003,000 and $991,000 at September 30, 2025 and December 31, 2024, respectively, was excluded from the amortized cost basis of loans.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to the allowance for credit losses on loans, the Bank calculates a reserve for unfunded loan commitments at a level that management believes is adequate to absorb estimated probable credit losses over the contractual terms of the Bank’s noncancellable loan commitments. The Bank deemed the calculated reserve for unfunded commitments as immaterial as of September 30, 2025 and December 31,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Unfunded loan commitments are segmented into the same pools used for estimating the allowance for credit losses on loans. Estimated credit losses on unfunded loan commitments are based on the same methodology, inputs, and assumptions used to estimate credit losses on collectively evaluated loans, adjusted for estimated funding probabilities. The estimated funding probabilities represent management’s estimate of the amount of the current unfunded loan commitment that will be funded over the remaining contractual life of the commitment and is based on historical data.</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Bank may modify loans to borrowers experiencing financial difficulty and grant certain concessions that include principal forgiveness, a term extension, an other-than-insignificant payment delay, an interest rate reduction, or a combination of these concessions. An assessment of whether the borrower is experiencing financial difficulty is made at the time of the loan modification.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Upon the Bank’s determination that a modified loan (or portion of a loan) has subsequently been deemed uncollectible, the loan (or portion of the loan) is written off. Therefore, the amortized cost basis of the loan is reduced by the uncollectible amount and the allowance for credit losses is adjusted by the same amount.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 xml:space="preserve">Real Estate Owned — </w:t>
      </w:r>
      <w:r>
        <w:rPr>
          <w:rFonts w:ascii="Times New Roman;Times;serif" w:hAnsi="Times New Roman;Times;serif"/>
          <w:sz w:val="20"/>
        </w:rPr>
        <w:t>At the time of foreclosure, foreclosed real estate is recorded at the fair value less cost to sell, which becomes the property’s new basis. Any write-downs based on the asset’s fair value at date of acquisition are charged to the allowance for credit losses. After foreclosure, valuations are periodically performed by management and property held for sale is carried at the lower of the new cost basis or fair value less cost to sell. Impairment losses on property to be held and used are measured as the amount by which the carrying amount of a property exceeds its fair value. Costs incurred in maintaining foreclosed real estate and subsequent adjustments to the carrying amount of the property are included in net gain (loss) on real estate owned. Mortgage loans in the process of foreclosure at September 30, 2025 and December 31, 2024 totaled $325,000 and $680,000,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HOYNE SAVINGS, MHC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left"/>
        <w:rPr>
          <w:rFonts w:ascii="Times New Roman;Times;serif" w:hAnsi="Times New Roman;Times;serif"/>
          <w:b/>
          <w:sz w:val="20"/>
        </w:rPr>
      </w:pPr>
      <w:bookmarkStart w:id="424" w:name="Tc_1O8Go5gPp0adzcnAJICNcQ_3_0"/>
      <w:bookmarkStart w:id="425" w:name="Tc_m_MBFUdpcU2Xqcnm0fxO5w_2_2"/>
      <w:bookmarkStart w:id="426" w:name="Tc_GueGGOoGvkK2uhA6Gd7HsA_2_0"/>
      <w:bookmarkStart w:id="427" w:name="Tc_Vy0WTnkPRUyJvuW6pu3c0w_1_2"/>
      <w:bookmarkStart w:id="428" w:name="Tc_chTNDnBEa0eUy1I054KNRA_1_0"/>
      <w:bookmarkStart w:id="429" w:name="_9bac7a57_9014_4ee9_9136_802c369fb071"/>
      <w:bookmarkEnd w:id="424"/>
      <w:bookmarkEnd w:id="425"/>
      <w:bookmarkEnd w:id="426"/>
      <w:bookmarkEnd w:id="427"/>
      <w:bookmarkEnd w:id="428"/>
      <w:bookmarkEnd w:id="429"/>
      <w:r>
        <w:rPr>
          <w:rFonts w:ascii="Times New Roman;Times;serif" w:hAnsi="Times New Roman;Times;serif"/>
          <w:b/>
          <w:i w:val="false"/>
          <w:caps w:val="false"/>
          <w:smallCaps w:val="false"/>
          <w:sz w:val="20"/>
        </w:rPr>
        <w:t>3.</w:t>
      </w:r>
      <w:r>
        <w:rPr>
          <w:rFonts w:ascii="Times New Roman;Times;serif" w:hAnsi="Times New Roman;Times;serif"/>
          <w:b/>
          <w:sz w:val="20"/>
        </w:rPr>
        <w:t>Summary of Significant Accounting Policies (continued)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Real estate owned can also include former Bank locations and land that management has committed to a plan to sell and have been classified as held-for-sale. Once the criteria for classification as held for sale is met, the asset is reclassified from Premises and Equipment to Real Estate Owned on the consolidated statement of financial condition and is initially measured at the lower of its carrying amount or fair value less cost to sell. Subsequent to the initial reclassification, valuations are periodically performed by management, and the asset is reviewed for impairment with any adjustments to the carrying amount included in noninterest expense.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b/>
          <w:sz w:val="20"/>
        </w:rPr>
        <w:t>Premises and Equipment —</w:t>
      </w:r>
      <w:r>
        <w:rPr>
          <w:rFonts w:ascii="Times New Roman;Times;serif" w:hAnsi="Times New Roman;Times;serif"/>
          <w:sz w:val="20"/>
        </w:rPr>
        <w:t xml:space="preserve"> Land is carried at cost. Buildings and improvements, furniture, fixtures, and equipment are carried at cost less accumulated depreciation. Depreciation is computed on the straight- line and accelerated methods over the following estimated useful lives:</w:t>
      </w:r>
    </w:p>
    <w:p>
      <w:pPr>
        <w:pStyle w:val="TextBody"/>
        <w:bidi w:val="0"/>
        <w:spacing w:before="0" w:after="240"/>
        <w:ind w:left="0" w:right="0" w:hanging="0"/>
        <w:jc w:val="left"/>
        <w:rPr/>
      </w:pPr>
      <w:r>
        <w:rPr/>
        <w:t>​</w:t>
      </w:r>
    </w:p>
    <w:tbl>
      <w:tblPr>
        <w:tblW w:w="4393" w:type="dxa"/>
        <w:jc w:val="left"/>
        <w:tblInd w:w="0" w:type="dxa"/>
        <w:tblLayout w:type="fixed"/>
        <w:tblCellMar>
          <w:top w:w="0" w:type="dxa"/>
          <w:left w:w="0" w:type="dxa"/>
          <w:bottom w:w="0" w:type="dxa"/>
          <w:right w:w="0" w:type="dxa"/>
        </w:tblCellMar>
      </w:tblPr>
      <w:tblGrid>
        <w:gridCol w:w="2881"/>
        <w:gridCol w:w="326"/>
        <w:gridCol w:w="1186"/>
      </w:tblGrid>
      <w:tr>
        <w:trPr/>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829435" cy="175260"/>
                      <wp:effectExtent l="0" t="0" r="0" b="0"/>
                      <wp:wrapNone/>
                      <wp:docPr id="43" name="Frame42"/>
                      <a:graphic xmlns:a="http://schemas.openxmlformats.org/drawingml/2006/main">
                        <a:graphicData uri="http://schemas.microsoft.com/office/word/2010/wordprocessingShape">
                          <wps:wsp>
                            <wps:cNvSpPr txBox="1"/>
                            <wps:spPr>
                              <a:xfrm>
                                <a:off x="0" y="0"/>
                                <a:ext cx="182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4"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753110" cy="175260"/>
                      <wp:effectExtent l="0" t="0" r="0" b="0"/>
                      <wp:wrapNone/>
                      <wp:docPr id="45" name="Frame44"/>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 and improvements</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 – 50 years</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fixtures, and equipment</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60" w:hanging="0"/>
              <w:jc w:val="right"/>
              <w:rPr>
                <w:rFonts w:ascii="Times New Roman;Times;serif" w:hAnsi="Times New Roman;Times;serif"/>
                <w:color w:val="231F20"/>
                <w:sz w:val="20"/>
              </w:rPr>
            </w:pPr>
            <w:r>
              <w:rPr>
                <w:rFonts w:ascii="Times New Roman;Times;serif" w:hAnsi="Times New Roman;Times;serif"/>
                <w:color w:val="231F20"/>
                <w:sz w:val="20"/>
              </w:rPr>
              <w:t>3 – 20 years</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Bank-owned Life Insurance —</w:t>
      </w:r>
      <w:r>
        <w:rPr>
          <w:rFonts w:ascii="Times New Roman;Times;serif" w:hAnsi="Times New Roman;Times;serif"/>
          <w:sz w:val="20"/>
        </w:rPr>
        <w:t xml:space="preserve"> The Bank has purchased life insurance policies on certain key officers. Bank-owned life insurance is recorded at its cash surrender value, or the amount that can be realized upon immediate liquidation. The change in the cash surrender value is included as other noninterest income.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Core Deposit Intangibles —</w:t>
      </w:r>
      <w:r>
        <w:rPr>
          <w:rFonts w:ascii="Times New Roman;Times;serif" w:hAnsi="Times New Roman;Times;serif"/>
          <w:sz w:val="20"/>
        </w:rPr>
        <w:t xml:space="preserve"> The core deposit intangibles (“CDI”) were acquired in business combinations. On October 16, 2020, the Bank acquired Loomis Federal Savings and Loan Association which included a CDI of $3,000. The Bank has an additional CDI of $2,705,000 from a previous business combination that is being amortized over its estimated useful life of 120 months. Accumulated amortization at September 30, 2025, was $2.5 million ($2.4 million at December 31, 2024). The CDIs are reviewed for impairment when events or circumstances indicate that the carrying amount may not be recoverable. No events or circumstances indicating impairment exist as of September 30, 2025 and December 31,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Aggregate annual amortization expense is expected to be as follows:</w:t>
      </w:r>
    </w:p>
    <w:tbl>
      <w:tblPr>
        <w:tblW w:w="1964" w:type="dxa"/>
        <w:jc w:val="left"/>
        <w:tblInd w:w="0" w:type="dxa"/>
        <w:tblLayout w:type="fixed"/>
        <w:tblCellMar>
          <w:top w:w="0" w:type="dxa"/>
          <w:left w:w="0" w:type="dxa"/>
          <w:bottom w:w="0" w:type="dxa"/>
          <w:right w:w="0" w:type="dxa"/>
        </w:tblCellMar>
      </w:tblPr>
      <w:tblGrid>
        <w:gridCol w:w="541"/>
        <w:gridCol w:w="326"/>
        <w:gridCol w:w="211"/>
        <w:gridCol w:w="886"/>
      </w:tblGrid>
      <w:tr>
        <w:trPr/>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343535" cy="175260"/>
                      <wp:effectExtent l="0" t="0" r="0" b="0"/>
                      <wp:wrapNone/>
                      <wp:docPr id="46" name="Frame45"/>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7"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33985" cy="175260"/>
                      <wp:effectExtent l="0" t="0" r="0" b="0"/>
                      <wp:wrapNone/>
                      <wp:docPr id="48" name="Frame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62610" cy="175260"/>
                      <wp:effectExtent l="0" t="0" r="0" b="0"/>
                      <wp:wrapNone/>
                      <wp:docPr id="49" name="Frame4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w:t>
            </w:r>
          </w:p>
        </w:tc>
        <w:tc>
          <w:tcPr>
            <w:tcW w:w="326" w:type="dxa"/>
            <w:tcBorders/>
            <w:vAlign w:val="center"/>
          </w:tcPr>
          <w:p>
            <w:pPr>
              <w:pStyle w:val="TableContents"/>
              <w:bidi w:val="0"/>
              <w:spacing w:before="0" w:after="0"/>
              <w:ind w:left="0" w:right="0" w:hanging="0"/>
              <w:jc w:val="center"/>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184,000</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60" w:hanging="0"/>
              <w:jc w:val="right"/>
              <w:rPr>
                <w:rFonts w:ascii="Times New Roman;Times;serif" w:hAnsi="Times New Roman;Times;serif"/>
                <w:color w:val="231F20"/>
                <w:sz w:val="20"/>
              </w:rPr>
            </w:pPr>
            <w:r>
              <w:rPr>
                <w:rFonts w:ascii="Times New Roman;Times;serif" w:hAnsi="Times New Roman;Times;serif"/>
                <w:color w:val="231F20"/>
                <w:sz w:val="20"/>
              </w:rPr>
              <w:t>138,000</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Deposits —</w:t>
      </w:r>
      <w:r>
        <w:rPr>
          <w:rFonts w:ascii="Times New Roman;Times;serif" w:hAnsi="Times New Roman;Times;serif"/>
          <w:sz w:val="20"/>
        </w:rPr>
        <w:t xml:space="preserve"> Demand deposits normally bear interest and have no stated maturity. Time deposits, which include certificates of deposit, bear interest for a fixed, stated period of time. Premiums on acquired certificates of deposit are amortized into interest expense over the estimated life of the certificates.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Retained Earnings —</w:t>
      </w:r>
      <w:r>
        <w:rPr>
          <w:rFonts w:ascii="Times New Roman;Times;serif" w:hAnsi="Times New Roman;Times;serif"/>
          <w:sz w:val="20"/>
        </w:rPr>
        <w:t xml:space="preserve"> Undivided profits are recorded in accordance with regulations of the State of Illinois and the Federal Deposit Insurance Corporation.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Transfers of Financial Assets —</w:t>
      </w:r>
      <w:r>
        <w:rPr>
          <w:rFonts w:ascii="Times New Roman;Times;serif" w:hAnsi="Times New Roman;Times;serif"/>
          <w:sz w:val="20"/>
        </w:rPr>
        <w:t xml:space="preserve"> Transfers of financial assets are accounted for as sales when control over the assets has been surrendered. Control over transferred assets is deemed to be surrendered when the assets have been isolated from the Bank, the transferee obtains the right (free of conditions that constrain it from taking advantage of the right) to pledge or exchange the transferred asset, and the Bank does not maintain effective control over the transferred assets through an agreement to repurchase them before their maturity or the ability to unilaterally cause the holder to return specific assets.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HOYNE SAVINGS, MHC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Summary of Significant Accounting Policies (continued)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Noninterest Income Revenue Recognition —</w:t>
      </w:r>
      <w:r>
        <w:rPr>
          <w:rFonts w:ascii="Times New Roman;Times;serif" w:hAnsi="Times New Roman;Times;serif"/>
          <w:sz w:val="20"/>
        </w:rPr>
        <w:t xml:space="preserve"> The Bank earns fees from its deposit customers for transaction-based, account maintenance, and overdraft services. Transaction-based fees, such as ATM use fees, wires, stop payment charges, statement rendering, and ACH fees, are recognized at the time the transaction is executed as that is the point in time the Bank fulfills the customer’s request. Account maintenance fees, which relate primarily to monthly service charges and maintenance fees, are earned over the course of a month, representing the period over which the Bank satisfies the performance obligation. Overdraft fees are recognized at the point in time that the overdraft occurs as this corresponds with the Bank’s performance obligation.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 xml:space="preserve">Legal Contingencies — </w:t>
      </w:r>
      <w:r>
        <w:rPr>
          <w:rFonts w:ascii="Times New Roman;Times;serif" w:hAnsi="Times New Roman;Times;serif"/>
          <w:sz w:val="20"/>
        </w:rPr>
        <w:t>Various legal claims arise from time to time in the normal course of business. In the opinion of management, any liability resulting from such proceedings would not have a material impact on the financial statements of the Bank.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Advertising —</w:t>
      </w:r>
      <w:r>
        <w:rPr>
          <w:rFonts w:ascii="Times New Roman;Times;serif" w:hAnsi="Times New Roman;Times;serif"/>
          <w:sz w:val="20"/>
        </w:rPr>
        <w:t xml:space="preserve"> The Bank expenses the cost of advertising the first time the advertising takes place. Advertising expense was $61,885 during the nine months ended September 30, 2025 ($37,669 during the nine months ended September 30,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Income Taxes —</w:t>
      </w:r>
      <w:r>
        <w:rPr>
          <w:rFonts w:ascii="Times New Roman;Times;serif" w:hAnsi="Times New Roman;Times;serif"/>
          <w:sz w:val="20"/>
        </w:rPr>
        <w:t xml:space="preserve"> Deferred tax assets and liabilities have been determined using the liability method. Deferred tax assets and liabilities are determined based on the difference between the financial statements and tax bases of assets and liabilities as measured by the current enacted tax rates which will be in effect when these differences are expected to reverse. Provision (credit) for deferred taxes is the result of changes in the deferred tax assets and liabilities.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may also recognize a liability for unrecognized tax benefits from uncertain tax positions. Unrecognized tax benefits represent the differences between a tax position taken or expected to be taken in a tax return and the benefit recognized and measured in the financial statements. Interest and penalties related to unrecognized tax benefits are classified as income tax expense.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With few exceptions, the Company is no longer subject to federal or state examination by tax authorities for years ending before December 31, 2021.</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 xml:space="preserve">Comprehensive Income (Loss) — </w:t>
      </w:r>
      <w:r>
        <w:rPr>
          <w:rFonts w:ascii="Times New Roman;Times;serif" w:hAnsi="Times New Roman;Times;serif"/>
          <w:sz w:val="20"/>
        </w:rPr>
        <w:t>Accounting principles generally require that recognized revenue, expense, gains, and losses be included in net income. Certain changes in assets and liabilities, however, such as unrealized gains and losses on available-for-sale securities, are reported as a direct adjustment to the equity section of the consolidated statement of financial condition. Such items, along with net income, are considered components of comprehensive income.</w:t>
      </w:r>
    </w:p>
    <w:p>
      <w:pPr>
        <w:pStyle w:val="TextBody"/>
        <w:bidi w:val="0"/>
        <w:spacing w:before="0" w:after="190"/>
        <w:ind w:left="0" w:right="0" w:firstLine="360"/>
        <w:jc w:val="left"/>
        <w:rPr>
          <w:rFonts w:ascii="Times New Roman;Times;serif" w:hAnsi="Times New Roman;Times;serif"/>
          <w:sz w:val="20"/>
        </w:rPr>
      </w:pPr>
      <w:r>
        <w:rPr>
          <w:rFonts w:ascii="Times New Roman;Times;serif" w:hAnsi="Times New Roman;Times;serif"/>
          <w:b/>
          <w:sz w:val="20"/>
        </w:rPr>
        <w:t>Segment Information —</w:t>
      </w:r>
      <w:r>
        <w:rPr>
          <w:rFonts w:ascii="Times New Roman;Times;serif" w:hAnsi="Times New Roman;Times;serif"/>
          <w:sz w:val="20"/>
        </w:rPr>
        <w:t xml:space="preserve"> The Bank’s reportable segment is determined by the Chief Financial Officer (“CFO”) based upon information provided about the Bank’s products and services offered, primarily banking operations. The segment is also distinguished by the level of information provided by the CFO, who uses such information to review performance of various components of the business, which are then aggregated if operating performance, products / services, and customers are similar. The CFO will evaluate the financial performance of the Bank’s business components such as evaluating revenue streams, significant expenses, and budget to actual results in assessing the Bank’s segment and in the determination of allocating resources. The CFO uses revenue streams to evaluate product pricing and significant expenses to assess performance and evaluate return on assets. The CFO uses consolidated net income (loss) to benchmark the Bank against its competitors. The benchmarking analysis coupled with monitoring of budget to actual results are used in assessing performance and in establishing compensation. Loans, investments, and deposit product service fees provide the revenues in the banking operation. Interest expense and salaries and employee benefits, as reported on the consolidated statement of income, provide the significant expenses in the banking operation. All operations are domestic.</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HOYNE SAVINGS, MHC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Summary of Significant Accounting Policies (continued)</w:t>
      </w:r>
    </w:p>
    <w:p>
      <w:pPr>
        <w:pStyle w:val="TextBody"/>
        <w:bidi w:val="0"/>
        <w:spacing w:before="0" w:after="190"/>
        <w:ind w:left="0" w:right="0" w:firstLine="360"/>
        <w:jc w:val="left"/>
        <w:rPr>
          <w:rFonts w:ascii="Times New Roman;Times;serif" w:hAnsi="Times New Roman;Times;serif"/>
          <w:sz w:val="20"/>
        </w:rPr>
      </w:pPr>
      <w:r>
        <w:rPr>
          <w:rFonts w:ascii="Times New Roman;Times;serif" w:hAnsi="Times New Roman;Times;serif"/>
          <w:sz w:val="20"/>
        </w:rPr>
        <w:t xml:space="preserve">The Bank operates under a single segment. Segment performance is evaluated using consolidated net income (loss). The measure of segment assets is reported on the consolidated balance sheets as total consolidated assets. Noncash items, such as depreciation and amortization, as well as expenditures for premises and equipment, are reported on the consolidated statement of cash flows. </w:t>
      </w:r>
    </w:p>
    <w:p>
      <w:pPr>
        <w:pStyle w:val="TextBody"/>
        <w:bidi w:val="0"/>
        <w:spacing w:before="0" w:after="190"/>
        <w:ind w:left="0" w:right="0" w:hanging="0"/>
        <w:jc w:val="left"/>
        <w:rPr>
          <w:rFonts w:ascii="Times New Roman;Times;serif" w:hAnsi="Times New Roman;Times;serif"/>
          <w:b/>
          <w:sz w:val="20"/>
        </w:rPr>
      </w:pPr>
      <w:bookmarkStart w:id="430" w:name="Tc_6GlEbOQzUkiVkW-2aGThuA_14_11"/>
      <w:bookmarkStart w:id="431" w:name="Tc_35MFvur__keydxGl9mqt0g_14_8"/>
      <w:bookmarkStart w:id="432" w:name="Tc_GQUwPisZVkOwYPqzXTi_8w_14_5"/>
      <w:bookmarkStart w:id="433" w:name="Tc_q0z7dmA4JkmEnNgJDTL0Ng_14_2"/>
      <w:bookmarkStart w:id="434" w:name="Tc_00bU4ADRjUGn4uJhBJvdvA_14_0"/>
      <w:bookmarkStart w:id="435" w:name="Tc_eZvWFnwpdkC8X0BCo_mDCA_13_6"/>
      <w:bookmarkStart w:id="436" w:name="Tc_63JoXwUEN0yjPBAbX4lHnA_13_0"/>
      <w:bookmarkStart w:id="437" w:name="Tc_CvDfiCJOLUyiSHlOSTmlVw_12_0"/>
      <w:bookmarkStart w:id="438" w:name="Tc_cn55mJVJ0E-bZlZrmiU8jw_11_11"/>
      <w:bookmarkStart w:id="439" w:name="Tc_oQQt3bPh3UmT416Ry03EoA_11_8"/>
      <w:bookmarkStart w:id="440" w:name="Tc_GAsIYBrWBU6gRIn6qRZz-Q_11_6"/>
      <w:bookmarkStart w:id="441" w:name="Tc_0MoVRzOS-UiHsE4w17sbGQ_11_5"/>
      <w:bookmarkStart w:id="442" w:name="Tc_ZgsmhtTmRk-Cuh4O2NvGKg_11_2"/>
      <w:bookmarkStart w:id="443" w:name="Tc_8iaGMnw07kSfFdTWQwox_w_11_0"/>
      <w:bookmarkStart w:id="444" w:name="Tc_zXH0WXYIYUm40_DnhbUS7A_10_0"/>
      <w:bookmarkStart w:id="445" w:name="Tc_ZxV6P_bLiUm096aMCOs7Qw_9_11"/>
      <w:bookmarkStart w:id="446" w:name="Tc_1YNIde_UAUGmZwOK1o87PA_9_8"/>
      <w:bookmarkStart w:id="447" w:name="Tc_evsTIVcg0ky4CD3O1tkRyw_9_5"/>
      <w:bookmarkStart w:id="448" w:name="Tc_NIqXDiTRBUiIoaIBBjtS9g_9_2"/>
      <w:bookmarkStart w:id="449" w:name="Tc_CjSvvgQKkEWY57NR5RcNCg_9_0"/>
      <w:bookmarkStart w:id="450" w:name="Tc_-zNfp3OgfE-w9pv6grb-jA_8_0"/>
      <w:bookmarkStart w:id="451" w:name="Tc_mueSFx9SGUG3Q-B2ZBzT6w_7_6"/>
      <w:bookmarkStart w:id="452" w:name="Tc__w2rholFJkqEgSH5xqTJCw_7_0"/>
      <w:bookmarkStart w:id="453" w:name="Tc_RrWBp8viHEOt0vWQEs14kA_6_0"/>
      <w:bookmarkStart w:id="454" w:name="Tc_5gN9c5b_aEKcYgcrSsS6xw_5_11"/>
      <w:bookmarkStart w:id="455" w:name="Tc_Zpd7wKmQV0S0B2C6XJmoAA_5_8"/>
      <w:bookmarkStart w:id="456" w:name="Tc_0A0GLN0CEE2fFj64q-H56Q_5_6"/>
      <w:bookmarkStart w:id="457" w:name="Tc_MwXzHucFAUSreegMjQVLxQ_5_5"/>
      <w:bookmarkStart w:id="458" w:name="Tc_OtYxPTI9lEW7Oi_IUmLEJA_5_2"/>
      <w:bookmarkStart w:id="459" w:name="Tc_xcnr03BOR0yrMjWYQpDrZw_5_0"/>
      <w:bookmarkStart w:id="460" w:name="Tc_yUMxe99eHUa2JWm2J4jwIQ_4_0"/>
      <w:bookmarkStart w:id="461" w:name="Tc_gSGD9qf1u0G6h1V8YoHQkQ_3_11"/>
      <w:bookmarkStart w:id="462" w:name="Tc_5KWoF1po_kSZkRL_OoSIBg_3_8"/>
      <w:bookmarkStart w:id="463" w:name="Tc_CjcyommAIkCHKEJz1x9pVQ_3_5"/>
      <w:bookmarkStart w:id="464" w:name="Tc_nZpXmfdezE-WURR3c1xPGQ_3_2"/>
      <w:bookmarkStart w:id="465" w:name="Tc_k1z8caNfm02VDBGktutj2w_2_11"/>
      <w:bookmarkStart w:id="466" w:name="Tc_I8bSUsznUkClDwUY0yXdRA_2_5"/>
      <w:bookmarkStart w:id="467" w:name="Tc_K2Tdp7Yj2UGEeydbPuPQVg_2_2"/>
      <w:bookmarkStart w:id="468" w:name="Tc_habGfb8oBEO7GwbPMOQbfA_1_2"/>
      <w:bookmarkStart w:id="469" w:name="_10e20961_90a6_4d31_b52c_1f4df093e6a7"/>
      <w:bookmarkStart w:id="470" w:name="Tc_5RzJEWF_tkCt0RdGMflnkA_13_11"/>
      <w:bookmarkStart w:id="471" w:name="Tc_8xwZuHU9EUmH9FCHOGDwqw_13_8"/>
      <w:bookmarkStart w:id="472" w:name="Tc_qcAcIDqCt0yp_4pxivqyGw_13_5"/>
      <w:bookmarkStart w:id="473" w:name="Tc_E9f9LuRVQ0aX8Trpf8lRyA_13_2"/>
      <w:bookmarkStart w:id="474" w:name="Tc_s87M_nobkEC-ZqgS82YAcg_13_0"/>
      <w:bookmarkStart w:id="475" w:name="Tc_yYWbNwhSkEaQCKZXF3fHfg_12_6"/>
      <w:bookmarkStart w:id="476" w:name="Tc_nsje0-HrgEmGCyF1pP2NLw_12_0"/>
      <w:bookmarkStart w:id="477" w:name="Tc_71iW9CCS8kC6RcAa6eNgnw_11_0"/>
      <w:bookmarkStart w:id="478" w:name="Tc_CsL1s_zkcEGgsNAv1A8QhQ_10_11"/>
      <w:bookmarkStart w:id="479" w:name="Tc_KKyUp-bv7EeiuugVL9WR_g_10_8"/>
      <w:bookmarkStart w:id="480" w:name="Tc_0vAbJxohykO2vSWV_1sBMw_10_6"/>
      <w:bookmarkStart w:id="481" w:name="Tc_0SYYNGXNfEu8bNDKdFpUXA_10_5"/>
      <w:bookmarkStart w:id="482" w:name="Tc_X3uc_95R1UKw-azN554_4Q_10_2"/>
      <w:bookmarkStart w:id="483" w:name="Tc_qG9AN55Lu0GbK5qzgz5oHw_10_0"/>
      <w:bookmarkStart w:id="484" w:name="Tc_Qet7CITOk0CljTRevO0phA_9_0"/>
      <w:bookmarkStart w:id="485" w:name="Tc_dRbfPnSwTUOlUtNNXbSQYA_8_11"/>
      <w:bookmarkStart w:id="486" w:name="Tc_tO0zYEepbUSFT5sEGm0oAw_8_8"/>
      <w:bookmarkStart w:id="487" w:name="Tc_RhEzL3BbGUWA_Jqz4BoYtA_8_5"/>
      <w:bookmarkStart w:id="488" w:name="Tc_OGOOEwQvwUmrQMQZSMYL0Q_8_2"/>
      <w:bookmarkStart w:id="489" w:name="Tc_r53hWgeuR0271I5UclLOrw_8_0"/>
      <w:bookmarkStart w:id="490" w:name="Tc_gQxvroS-CEewiPCO9I2ObA_7_6"/>
      <w:bookmarkStart w:id="491" w:name="Tc_nysbfJrFI0Otm4DTtLA2Jg_7_0"/>
      <w:bookmarkStart w:id="492" w:name="Tc_MyQNgjekFUCyYjWCERNJ5Q_6_0"/>
      <w:bookmarkStart w:id="493" w:name="Tc_ej8OjGZs6Em7wNt84c8KtQ_5_11"/>
      <w:bookmarkStart w:id="494" w:name="Tc_OxoL9YMb20SAigw1tRja9w_5_8"/>
      <w:bookmarkStart w:id="495" w:name="Tc_cSoD1dwAYkaDvzQPA60DjA_5_6"/>
      <w:bookmarkStart w:id="496" w:name="Tc_Kjb8sK9-ek-W9XaZnPgzHg_5_5"/>
      <w:bookmarkStart w:id="497" w:name="Tc_c51hZI9m0kqFtMpaUj2mQA_5_2"/>
      <w:bookmarkStart w:id="498" w:name="Tc_fS7Z469ICEG4Rrhz7NHnQw_5_0"/>
      <w:bookmarkStart w:id="499" w:name="Tc_5REureH89UO6yk5WgRfsdQ_4_0"/>
      <w:bookmarkStart w:id="500" w:name="Tc_XqLIOUynK0KX6PVTMSagNg_3_11"/>
      <w:bookmarkStart w:id="501" w:name="Tc_KFhGw1sW2kC_p7rPcXTO4g_3_8"/>
      <w:bookmarkStart w:id="502" w:name="Tc_rAMaBnRqCk6LFjRYYpNJXg_3_5"/>
      <w:bookmarkStart w:id="503" w:name="Tc_Ep-rUuZhqUmIe_yu5W9z8w_3_2"/>
      <w:bookmarkStart w:id="504" w:name="Tc_teTmY2teQ0GNoK2kg7I_mQ_2_11"/>
      <w:bookmarkStart w:id="505" w:name="Tc_qhW4sZzI6U2iNOsG3TkP8Q_2_5"/>
      <w:bookmarkStart w:id="506" w:name="Tc_xI6aZqezvU2kIC5npeSlcQ_2_2"/>
      <w:bookmarkStart w:id="507" w:name="Tc_Fu2DLoNn506TxQZhDve6Aw_1_2"/>
      <w:bookmarkStart w:id="508" w:name="_2645be4e_9b83_4bb0_82ba_fc43be93f3b7"/>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r>
        <w:rPr>
          <w:rFonts w:ascii="Times New Roman;Times;serif" w:hAnsi="Times New Roman;Times;serif"/>
          <w:b/>
          <w:i w:val="false"/>
          <w:caps w:val="false"/>
          <w:smallCaps w:val="false"/>
          <w:sz w:val="20"/>
        </w:rPr>
        <w:t>4.</w:t>
      </w:r>
      <w:r>
        <w:rPr>
          <w:rFonts w:ascii="Times New Roman;Times;serif" w:hAnsi="Times New Roman;Times;serif"/>
          <w:b/>
          <w:sz w:val="20"/>
        </w:rPr>
        <w:t>Investment Securities</w:t>
      </w:r>
    </w:p>
    <w:p>
      <w:pPr>
        <w:pStyle w:val="TextBody"/>
        <w:bidi w:val="0"/>
        <w:spacing w:before="0" w:after="190"/>
        <w:ind w:left="0" w:right="0" w:firstLine="360"/>
        <w:jc w:val="left"/>
        <w:rPr>
          <w:rFonts w:ascii="Times New Roman;Times;serif" w:hAnsi="Times New Roman;Times;serif"/>
          <w:sz w:val="20"/>
        </w:rPr>
      </w:pPr>
      <w:r>
        <w:rPr>
          <w:rFonts w:ascii="Times New Roman;Times;serif" w:hAnsi="Times New Roman;Times;serif"/>
          <w:sz w:val="20"/>
        </w:rPr>
        <w:t>The amortized cost and fair value of securities available-for-sale and held-to-maturity, with gross unrealized gains and losses, are as follows (in thousands):</w:t>
      </w:r>
    </w:p>
    <w:tbl>
      <w:tblPr>
        <w:tblW w:w="7718" w:type="dxa"/>
        <w:jc w:val="left"/>
        <w:tblInd w:w="0" w:type="dxa"/>
        <w:tblLayout w:type="fixed"/>
        <w:tblCellMar>
          <w:top w:w="0" w:type="dxa"/>
          <w:left w:w="0" w:type="dxa"/>
          <w:bottom w:w="0" w:type="dxa"/>
          <w:right w:w="0" w:type="dxa"/>
        </w:tblCellMar>
      </w:tblPr>
      <w:tblGrid>
        <w:gridCol w:w="2821"/>
        <w:gridCol w:w="326"/>
        <w:gridCol w:w="211"/>
        <w:gridCol w:w="781"/>
        <w:gridCol w:w="326"/>
        <w:gridCol w:w="211"/>
        <w:gridCol w:w="346"/>
        <w:gridCol w:w="326"/>
        <w:gridCol w:w="211"/>
        <w:gridCol w:w="796"/>
        <w:gridCol w:w="326"/>
        <w:gridCol w:w="211"/>
        <w:gridCol w:w="826"/>
      </w:tblGrid>
      <w:tr>
        <w:trPr/>
        <w:tc>
          <w:tcPr>
            <w:tcW w:w="2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791335" cy="175260"/>
                      <wp:effectExtent l="0" t="0" r="0" b="0"/>
                      <wp:wrapNone/>
                      <wp:docPr id="50" name="Frame49"/>
                      <a:graphic xmlns:a="http://schemas.openxmlformats.org/drawingml/2006/main">
                        <a:graphicData uri="http://schemas.microsoft.com/office/word/2010/wordprocessingShape">
                          <wps:wsp>
                            <wps:cNvSpPr txBox="1"/>
                            <wps:spPr>
                              <a:xfrm>
                                <a:off x="0" y="0"/>
                                <a:ext cx="179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33985" cy="175260"/>
                      <wp:effectExtent l="0" t="0" r="0" b="0"/>
                      <wp:wrapNone/>
                      <wp:docPr id="52" name="Frame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495935" cy="175260"/>
                      <wp:effectExtent l="0" t="0" r="0" b="0"/>
                      <wp:wrapNone/>
                      <wp:docPr id="53" name="Frame5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4"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33985" cy="175260"/>
                      <wp:effectExtent l="0" t="0" r="0" b="0"/>
                      <wp:wrapNone/>
                      <wp:docPr id="55" name="Frame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6"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7" name="Frame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33985" cy="175260"/>
                      <wp:effectExtent l="0" t="0" r="0" b="0"/>
                      <wp:wrapNone/>
                      <wp:docPr id="58" name="Frame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05460" cy="175260"/>
                      <wp:effectExtent l="0" t="0" r="0" b="0"/>
                      <wp:wrapNone/>
                      <wp:docPr id="59" name="Frame5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60" name="Frame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33985" cy="175260"/>
                      <wp:effectExtent l="0" t="0" r="0" b="0"/>
                      <wp:wrapNone/>
                      <wp:docPr id="61" name="Frame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524510" cy="175260"/>
                      <wp:effectExtent l="0" t="0" r="0" b="0"/>
                      <wp:wrapNone/>
                      <wp:docPr id="62" name="Frame6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57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r>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before="0" w:after="0"/>
              <w:ind w:left="0" w:right="0" w:hanging="0"/>
              <w:jc w:val="center"/>
              <w:rPr/>
            </w:pPr>
            <w:r>
              <w:rPr/>
              <w:t>    </w:t>
            </w:r>
          </w:p>
        </w:tc>
        <w:tc>
          <w:tcPr>
            <w:tcW w:w="18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Unrealized    </w:t>
            </w:r>
          </w:p>
        </w:tc>
        <w:tc>
          <w:tcPr>
            <w:tcW w:w="326" w:type="dxa"/>
            <w:tcBorders/>
            <w:vAlign w:val="center"/>
          </w:tcPr>
          <w:p>
            <w:pPr>
              <w:pStyle w:val="TableContents"/>
              <w:bidi w:val="0"/>
              <w:spacing w:before="0" w:after="0"/>
              <w:ind w:left="0" w:right="0" w:hanging="0"/>
              <w:jc w:val="center"/>
              <w:rPr/>
            </w:pPr>
            <w:r>
              <w:rPr/>
              <w:t>    </w:t>
            </w:r>
          </w:p>
        </w:tc>
        <w:tc>
          <w:tcPr>
            <w:tcW w:w="10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0"/>
              <w:ind w:left="0" w:right="0" w:hanging="0"/>
              <w:jc w:val="center"/>
              <w:rPr/>
            </w:pPr>
            <w:r>
              <w:rPr/>
              <w:t>​</w:t>
            </w:r>
          </w:p>
        </w:tc>
        <w:tc>
          <w:tcPr>
            <w:tcW w:w="5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0"/>
              <w:ind w:left="0" w:right="0" w:hanging="0"/>
              <w:jc w:val="center"/>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Agencies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45,481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(7,287)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38,194</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Mortgage-backed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78,387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(8,967)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69,466</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Municipal bonds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1,201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1,181</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available-for-sale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125,069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(16,274)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108,841</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Held-to-maturity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Agencies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1,548</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Mortgage-backed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27,576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(2,082)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25,514</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Municipal bonds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216</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Held-to-maturity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29,804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(2,546)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27,278</w:t>
            </w:r>
          </w:p>
        </w:tc>
      </w:tr>
    </w:tbl>
    <w:p>
      <w:pPr>
        <w:pStyle w:val="TextBody"/>
        <w:bidi w:val="0"/>
        <w:spacing w:before="0" w:after="0"/>
        <w:ind w:left="0" w:right="0" w:hanging="0"/>
        <w:jc w:val="left"/>
        <w:rPr/>
      </w:pPr>
      <w:r>
        <w:rPr/>
        <w:t>​</w:t>
      </w:r>
    </w:p>
    <w:tbl>
      <w:tblPr>
        <w:tblW w:w="7763" w:type="dxa"/>
        <w:jc w:val="left"/>
        <w:tblInd w:w="0" w:type="dxa"/>
        <w:tblLayout w:type="fixed"/>
        <w:tblCellMar>
          <w:top w:w="0" w:type="dxa"/>
          <w:left w:w="0" w:type="dxa"/>
          <w:bottom w:w="0" w:type="dxa"/>
          <w:right w:w="0" w:type="dxa"/>
        </w:tblCellMar>
      </w:tblPr>
      <w:tblGrid>
        <w:gridCol w:w="2866"/>
        <w:gridCol w:w="326"/>
        <w:gridCol w:w="211"/>
        <w:gridCol w:w="781"/>
        <w:gridCol w:w="326"/>
        <w:gridCol w:w="211"/>
        <w:gridCol w:w="346"/>
        <w:gridCol w:w="326"/>
        <w:gridCol w:w="211"/>
        <w:gridCol w:w="796"/>
        <w:gridCol w:w="326"/>
        <w:gridCol w:w="211"/>
        <w:gridCol w:w="826"/>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819910" cy="175260"/>
                      <wp:effectExtent l="0" t="0" r="0" b="0"/>
                      <wp:wrapNone/>
                      <wp:docPr id="63" name="Frame62"/>
                      <a:graphic xmlns:a="http://schemas.openxmlformats.org/drawingml/2006/main">
                        <a:graphicData uri="http://schemas.microsoft.com/office/word/2010/wordprocessingShape">
                          <wps:wsp>
                            <wps:cNvSpPr txBox="1"/>
                            <wps:spPr>
                              <a:xfrm>
                                <a:off x="0" y="0"/>
                                <a:ext cx="181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3985" cy="175260"/>
                      <wp:effectExtent l="0" t="0" r="0" b="0"/>
                      <wp:wrapNone/>
                      <wp:docPr id="65" name="Frame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95935" cy="175260"/>
                      <wp:effectExtent l="0" t="0" r="0" b="0"/>
                      <wp:wrapNone/>
                      <wp:docPr id="66" name="Frame6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7" name="Frame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33985" cy="175260"/>
                      <wp:effectExtent l="0" t="0" r="0" b="0"/>
                      <wp:wrapNone/>
                      <wp:docPr id="68" name="Frame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9710" cy="175260"/>
                      <wp:effectExtent l="0" t="0" r="0" b="0"/>
                      <wp:wrapNone/>
                      <wp:docPr id="69"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7010" cy="175260"/>
                      <wp:effectExtent l="0" t="0" r="0" b="0"/>
                      <wp:wrapNone/>
                      <wp:docPr id="70" name="Frame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33985" cy="175260"/>
                      <wp:effectExtent l="0" t="0" r="0" b="0"/>
                      <wp:wrapNone/>
                      <wp:docPr id="71" name="Frame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505460" cy="175260"/>
                      <wp:effectExtent l="0" t="0" r="0" b="0"/>
                      <wp:wrapNone/>
                      <wp:docPr id="72" name="Frame7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7010" cy="175260"/>
                      <wp:effectExtent l="0" t="0" r="0" b="0"/>
                      <wp:wrapNone/>
                      <wp:docPr id="73" name="Frame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33985" cy="175260"/>
                      <wp:effectExtent l="0" t="0" r="0" b="0"/>
                      <wp:wrapNone/>
                      <wp:docPr id="74" name="Frame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524510" cy="175260"/>
                      <wp:effectExtent l="0" t="0" r="0" b="0"/>
                      <wp:wrapNone/>
                      <wp:docPr id="75" name="Frame7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6" w:type="dxa"/>
            <w:tcBorders/>
            <w:vAlign w:val="center"/>
          </w:tcPr>
          <w:p>
            <w:pPr>
              <w:pStyle w:val="TableContents"/>
              <w:bidi w:val="0"/>
              <w:spacing w:before="0" w:after="0"/>
              <w:ind w:left="0" w:right="0" w:hanging="0"/>
              <w:jc w:val="left"/>
              <w:rPr>
                <w:color w:val="231F20"/>
              </w:rPr>
            </w:pPr>
            <w:r>
              <w:rPr>
                <w:color w:val="231F20"/>
              </w:rPr>
              <w:t>​</w:t>
            </w:r>
          </w:p>
        </w:tc>
        <w:tc>
          <w:tcPr>
            <w:tcW w:w="326" w:type="dxa"/>
            <w:tcBorders/>
            <w:vAlign w:val="center"/>
          </w:tcPr>
          <w:p>
            <w:pPr>
              <w:pStyle w:val="TableContents"/>
              <w:bidi w:val="0"/>
              <w:spacing w:before="0" w:after="0"/>
              <w:ind w:left="0" w:right="0" w:hanging="0"/>
              <w:jc w:val="center"/>
              <w:rPr>
                <w:color w:val="231F20"/>
              </w:rPr>
            </w:pPr>
            <w:r>
              <w:rPr>
                <w:color w:val="231F20"/>
              </w:rPr>
              <w:t>​</w:t>
            </w:r>
          </w:p>
        </w:tc>
        <w:tc>
          <w:tcPr>
            <w:tcW w:w="457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December 31, 2024</w:t>
            </w:r>
          </w:p>
        </w:tc>
      </w:tr>
      <w:tr>
        <w:trPr/>
        <w:tc>
          <w:tcPr>
            <w:tcW w:w="2866" w:type="dxa"/>
            <w:tcBorders/>
            <w:vAlign w:val="center"/>
          </w:tcPr>
          <w:p>
            <w:pPr>
              <w:pStyle w:val="TableContents"/>
              <w:bidi w:val="0"/>
              <w:spacing w:before="0" w:after="0"/>
              <w:ind w:left="0" w:right="0" w:hanging="0"/>
              <w:jc w:val="left"/>
              <w:rPr>
                <w:color w:val="231F20"/>
              </w:rPr>
            </w:pPr>
            <w:r>
              <w:rPr>
                <w:color w:val="231F20"/>
              </w:rPr>
              <w:t>​</w:t>
            </w:r>
          </w:p>
        </w:tc>
        <w:tc>
          <w:tcPr>
            <w:tcW w:w="326" w:type="dxa"/>
            <w:tcBorders/>
            <w:vAlign w:val="center"/>
          </w:tcPr>
          <w:p>
            <w:pPr>
              <w:pStyle w:val="TableContents"/>
              <w:bidi w:val="0"/>
              <w:spacing w:before="0" w:after="0"/>
              <w:ind w:left="0" w:right="0" w:hanging="0"/>
              <w:jc w:val="center"/>
              <w:rPr>
                <w:color w:val="231F20"/>
              </w:rPr>
            </w:pPr>
            <w:r>
              <w:rPr>
                <w:color w:val="231F20"/>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Amortized</w:t>
            </w:r>
          </w:p>
        </w:tc>
        <w:tc>
          <w:tcPr>
            <w:tcW w:w="326" w:type="dxa"/>
            <w:tcBorders/>
            <w:vAlign w:val="center"/>
          </w:tcPr>
          <w:p>
            <w:pPr>
              <w:pStyle w:val="TableContents"/>
              <w:bidi w:val="0"/>
              <w:spacing w:before="0" w:after="0"/>
              <w:ind w:left="0" w:right="0" w:hanging="0"/>
              <w:jc w:val="center"/>
              <w:rPr>
                <w:color w:val="231F20"/>
              </w:rPr>
            </w:pPr>
            <w:r>
              <w:rPr>
                <w:color w:val="231F20"/>
              </w:rPr>
              <w:t>​</w:t>
            </w:r>
          </w:p>
        </w:tc>
        <w:tc>
          <w:tcPr>
            <w:tcW w:w="18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Gross Unrealized</w:t>
            </w:r>
          </w:p>
        </w:tc>
        <w:tc>
          <w:tcPr>
            <w:tcW w:w="326" w:type="dxa"/>
            <w:tcBorders/>
            <w:vAlign w:val="center"/>
          </w:tcPr>
          <w:p>
            <w:pPr>
              <w:pStyle w:val="TableContents"/>
              <w:bidi w:val="0"/>
              <w:spacing w:before="0" w:after="0"/>
              <w:ind w:left="0" w:right="0" w:hanging="0"/>
              <w:jc w:val="center"/>
              <w:rPr>
                <w:color w:val="231F20"/>
              </w:rPr>
            </w:pPr>
            <w:r>
              <w:rPr>
                <w:color w:val="231F20"/>
              </w:rPr>
              <w:t>​</w:t>
            </w:r>
          </w:p>
        </w:tc>
        <w:tc>
          <w:tcPr>
            <w:tcW w:w="1037" w:type="dxa"/>
            <w:gridSpan w:val="2"/>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Estimated</w:t>
            </w:r>
          </w:p>
        </w:tc>
      </w:tr>
      <w:tr>
        <w:trPr/>
        <w:tc>
          <w:tcPr>
            <w:tcW w:w="2866" w:type="dxa"/>
            <w:tcBorders/>
            <w:vAlign w:val="center"/>
          </w:tcPr>
          <w:p>
            <w:pPr>
              <w:pStyle w:val="TableContents"/>
              <w:bidi w:val="0"/>
              <w:spacing w:before="0" w:after="0"/>
              <w:ind w:left="0" w:right="0" w:hanging="0"/>
              <w:jc w:val="left"/>
              <w:rPr>
                <w:color w:val="231F20"/>
              </w:rPr>
            </w:pPr>
            <w:r>
              <w:rPr>
                <w:color w:val="231F20"/>
              </w:rPr>
              <w:t>​</w:t>
            </w:r>
          </w:p>
        </w:tc>
        <w:tc>
          <w:tcPr>
            <w:tcW w:w="326" w:type="dxa"/>
            <w:tcBorders/>
            <w:vAlign w:val="center"/>
          </w:tcPr>
          <w:p>
            <w:pPr>
              <w:pStyle w:val="TableContents"/>
              <w:bidi w:val="0"/>
              <w:spacing w:before="0" w:after="0"/>
              <w:ind w:left="0" w:right="0" w:hanging="0"/>
              <w:jc w:val="center"/>
              <w:rPr>
                <w:color w:val="231F20"/>
              </w:rPr>
            </w:pPr>
            <w:r>
              <w:rPr>
                <w:color w:val="231F20"/>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Cost</w:t>
            </w:r>
          </w:p>
        </w:tc>
        <w:tc>
          <w:tcPr>
            <w:tcW w:w="326" w:type="dxa"/>
            <w:tcBorders/>
            <w:vAlign w:val="center"/>
          </w:tcPr>
          <w:p>
            <w:pPr>
              <w:pStyle w:val="TableContents"/>
              <w:bidi w:val="0"/>
              <w:spacing w:before="0" w:after="0"/>
              <w:ind w:left="0" w:right="0" w:hanging="0"/>
              <w:jc w:val="center"/>
              <w:rPr>
                <w:color w:val="231F20"/>
              </w:rPr>
            </w:pPr>
            <w:r>
              <w:rPr>
                <w:color w:val="231F20"/>
              </w:rPr>
              <w:t>    </w:t>
            </w:r>
          </w:p>
        </w:tc>
        <w:tc>
          <w:tcPr>
            <w:tcW w:w="5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Gains</w:t>
            </w:r>
          </w:p>
        </w:tc>
        <w:tc>
          <w:tcPr>
            <w:tcW w:w="326" w:type="dxa"/>
            <w:tcBorders/>
            <w:vAlign w:val="center"/>
          </w:tcPr>
          <w:p>
            <w:pPr>
              <w:pStyle w:val="TableContents"/>
              <w:bidi w:val="0"/>
              <w:spacing w:before="0" w:after="0"/>
              <w:ind w:left="0" w:right="0" w:hanging="0"/>
              <w:jc w:val="center"/>
              <w:rPr>
                <w:color w:val="231F20"/>
              </w:rPr>
            </w:pPr>
            <w:r>
              <w:rPr>
                <w:color w:val="231F20"/>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Losses</w:t>
            </w:r>
          </w:p>
        </w:tc>
        <w:tc>
          <w:tcPr>
            <w:tcW w:w="326" w:type="dxa"/>
            <w:tcBorders/>
            <w:vAlign w:val="center"/>
          </w:tcPr>
          <w:p>
            <w:pPr>
              <w:pStyle w:val="TableContents"/>
              <w:bidi w:val="0"/>
              <w:spacing w:before="0" w:after="0"/>
              <w:ind w:left="0" w:right="0" w:hanging="0"/>
              <w:jc w:val="center"/>
              <w:rPr>
                <w:color w:val="231F20"/>
              </w:rPr>
            </w:pPr>
            <w:r>
              <w:rPr>
                <w:color w:val="231F20"/>
              </w:rPr>
              <w:t>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Fair Value</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Available-for-sale securities:</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Agencies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45,480</w:t>
            </w:r>
          </w:p>
        </w:tc>
        <w:tc>
          <w:tcPr>
            <w:tcW w:w="326" w:type="dxa"/>
            <w:tcBorders/>
            <w:vAlign w:val="center"/>
          </w:tcPr>
          <w:p>
            <w:pPr>
              <w:pStyle w:val="TableContents"/>
              <w:bidi w:val="0"/>
              <w:spacing w:before="0" w:after="0"/>
              <w:ind w:left="0" w:right="0" w:hanging="0"/>
              <w:jc w:val="left"/>
              <w:rPr>
                <w:color w:val="231F20"/>
              </w:rPr>
            </w:pPr>
            <w:r>
              <w:rPr>
                <w:color w:val="231F20"/>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346" w:type="dxa"/>
            <w:tcBorders/>
            <w:vAlign w:val="center"/>
          </w:tcPr>
          <w:p>
            <w:pPr>
              <w:pStyle w:val="TableContents"/>
              <w:bidi w:val="0"/>
              <w:spacing w:before="0" w:after="0"/>
              <w:ind w:left="0" w:right="0" w:hanging="0"/>
              <w:jc w:val="right"/>
              <w:rPr>
                <w:color w:val="231F20"/>
              </w:rPr>
            </w:pPr>
            <w:r>
              <w:rPr>
                <w:color w:val="231F20"/>
              </w:rPr>
              <w:t>—</w:t>
            </w:r>
          </w:p>
        </w:tc>
        <w:tc>
          <w:tcPr>
            <w:tcW w:w="326" w:type="dxa"/>
            <w:tcBorders/>
            <w:vAlign w:val="center"/>
          </w:tcPr>
          <w:p>
            <w:pPr>
              <w:pStyle w:val="TableContents"/>
              <w:bidi w:val="0"/>
              <w:spacing w:before="0" w:after="0"/>
              <w:ind w:left="0" w:right="0" w:hanging="0"/>
              <w:jc w:val="left"/>
              <w:rPr>
                <w:color w:val="231F20"/>
              </w:rPr>
            </w:pPr>
            <w:r>
              <w:rPr>
                <w:color w:val="231F20"/>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(9,639)</w:t>
            </w:r>
          </w:p>
        </w:tc>
        <w:tc>
          <w:tcPr>
            <w:tcW w:w="326" w:type="dxa"/>
            <w:tcBorders/>
            <w:vAlign w:val="center"/>
          </w:tcPr>
          <w:p>
            <w:pPr>
              <w:pStyle w:val="TableContents"/>
              <w:bidi w:val="0"/>
              <w:spacing w:before="0" w:after="0"/>
              <w:ind w:left="0" w:right="0" w:hanging="0"/>
              <w:jc w:val="left"/>
              <w:rPr>
                <w:color w:val="231F20"/>
              </w:rPr>
            </w:pPr>
            <w:r>
              <w:rPr>
                <w:color w:val="231F20"/>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35,841</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Mortgage-backed </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87,649</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32</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(12,573)</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75,108</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Municipal bonds </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1,181</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346" w:type="dxa"/>
            <w:tcBorders/>
            <w:vAlign w:val="center"/>
          </w:tcPr>
          <w:p>
            <w:pPr>
              <w:pStyle w:val="TableContents"/>
              <w:bidi w:val="0"/>
              <w:spacing w:before="0" w:after="0"/>
              <w:ind w:left="0" w:right="0" w:hanging="0"/>
              <w:jc w:val="right"/>
              <w:rPr>
                <w:color w:val="231F20"/>
              </w:rPr>
            </w:pPr>
            <w:r>
              <w:rPr>
                <w:color w:val="231F20"/>
              </w:rPr>
              <w:t>—</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(50)</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1,131</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Treasuries </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4,471</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6</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4,475</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Total available-for-sale securities </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138,781</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38</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(22,264)</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116,555</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Held-to-maturity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Agencies </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1,978</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346" w:type="dxa"/>
            <w:tcBorders/>
            <w:vAlign w:val="center"/>
          </w:tcPr>
          <w:p>
            <w:pPr>
              <w:pStyle w:val="TableContents"/>
              <w:bidi w:val="0"/>
              <w:spacing w:before="0" w:after="0"/>
              <w:ind w:left="0" w:right="0" w:hanging="0"/>
              <w:jc w:val="right"/>
              <w:rPr>
                <w:color w:val="231F20"/>
              </w:rPr>
            </w:pPr>
            <w:r>
              <w:rPr>
                <w:color w:val="231F20"/>
              </w:rPr>
              <w:t>—</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(513)</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1,465</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Mortgage-backed </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31,796</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6</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(3,056)</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28,746</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Municipal bonds </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248</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color w:val="231F20"/>
              </w:rPr>
            </w:pPr>
            <w:r>
              <w:rPr>
                <w:color w:val="231F20"/>
              </w:rPr>
              <w:t>—</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(44)</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204</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Total Held-to-maturity securities </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34,022</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6</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(3,613)</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color w:val="231F20"/>
                <w:sz w:val="20"/>
              </w:rPr>
            </w:pPr>
            <w:r>
              <w:rPr>
                <w:rFonts w:ascii="Times New Roman;Times;serif" w:hAnsi="Times New Roman;Times;serif"/>
                <w:color w:val="231F20"/>
                <w:sz w:val="20"/>
              </w:rPr>
              <w:t>30,415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HOYNE SAVINGS, MHC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left"/>
        <w:rPr>
          <w:rFonts w:ascii="Times New Roman;Times;serif" w:hAnsi="Times New Roman;Times;serif"/>
          <w:b/>
          <w:sz w:val="20"/>
        </w:rPr>
      </w:pPr>
      <w:bookmarkStart w:id="509" w:name="Tc_Pn8JJI_PGEOptmqf0oCSpQ_10_11"/>
      <w:bookmarkStart w:id="510" w:name="Tc_MQz6P-o42UKsFgqmEEgcnA_10_8"/>
      <w:bookmarkStart w:id="511" w:name="Tc_2n4eLs9KWkiw31c_z7rZTA_10_6"/>
      <w:bookmarkStart w:id="512" w:name="Tc_jdO--NJ4G0aZ808bzSMP2A_10_5"/>
      <w:bookmarkStart w:id="513" w:name="Tc_XgyhIZC7tk2jfNWc3X01Og_10_3"/>
      <w:bookmarkStart w:id="514" w:name="Tc_MUVVFQzEpkenM-gRBdVdPg_10_2"/>
      <w:bookmarkStart w:id="515" w:name="Tc_UvaprZRZkUe9CnltwTBxUg_10_0"/>
      <w:bookmarkStart w:id="516" w:name="Tc_NwAbls0LrkSQx6K_PYy2Eg_9_6"/>
      <w:bookmarkStart w:id="517" w:name="Tc_J9PD7Nx8MUyRClqugwwXDQ_9_3"/>
      <w:bookmarkStart w:id="518" w:name="Tc_HRqywD_O5EOfAjCW-_qfQQ_9_0"/>
      <w:bookmarkStart w:id="519" w:name="Tc_THStWs8qDUOSZKTBvo5AKQ_8_6"/>
      <w:bookmarkStart w:id="520" w:name="Tc_Y9PQl3tdykeNl8aIxR8-lQ_8_3"/>
      <w:bookmarkStart w:id="521" w:name="Tc_yTszFf9eT0Wik-mr1X7DAA_8_0"/>
      <w:bookmarkStart w:id="522" w:name="Tc_zwMBh1HJ3E2ZOyxahAE4tQ_7_11"/>
      <w:bookmarkStart w:id="523" w:name="Tc_GA_DCIfefEuESrDEbAuX9Q_7_8"/>
      <w:bookmarkStart w:id="524" w:name="Tc_bzGfeF8lGk2mv7tkMtJ4Og_7_6"/>
      <w:bookmarkStart w:id="525" w:name="Tc_3phtlrs4UUu9uJN_En2aUw_7_5"/>
      <w:bookmarkStart w:id="526" w:name="Tc_BT9I2fTbwEWDLGAtrNlTzg_7_3"/>
      <w:bookmarkStart w:id="527" w:name="Tc_Uo-0fVqNg0aU-y_zspyh5g_7_2"/>
      <w:bookmarkStart w:id="528" w:name="Tc_erIABmhmI0esGaYgJGp2zg_7_0"/>
      <w:bookmarkStart w:id="529" w:name="Tc_eCbSuQP3Y0GkQBWsDbm53Q_6_0"/>
      <w:bookmarkStart w:id="530" w:name="Tc_ok5r6xVuHUa6L1PwLbI6sQ_5_11"/>
      <w:bookmarkStart w:id="531" w:name="Tc_zmk5Tvak-UaDusFusn37uQ_5_8"/>
      <w:bookmarkStart w:id="532" w:name="Tc_tKtVVVPExkiGIxJ4x3Wmwg_5_5"/>
      <w:bookmarkStart w:id="533" w:name="Tc_r4uE-kf0sk-tRdGDgcIJxA_5_2"/>
      <w:bookmarkStart w:id="534" w:name="Tc_o-ZuDGWgakOaSBTSLHdyWA_4_8"/>
      <w:bookmarkStart w:id="535" w:name="Tc_9GnnmFthP0iBJlh4kzLvRw_4_2"/>
      <w:bookmarkStart w:id="536" w:name="Tc_5WYXDRfQEUuTWwM4cSr3Cw_3_8"/>
      <w:bookmarkStart w:id="537" w:name="Tc_fJk5mDgknUqy4hlBEt8TUQ_3_2"/>
      <w:bookmarkStart w:id="538" w:name="Tc_Ce2OWzGthUq1q1uUNL6TuA_2_8"/>
      <w:bookmarkStart w:id="539" w:name="Tc_4UapjPK_8U6Im7jkzy9OZg_2_2"/>
      <w:bookmarkStart w:id="540" w:name="Tc_NMY_f8az6ECD9WjDhC2wRg_1_2"/>
      <w:bookmarkStart w:id="541" w:name="_54e3b46c_fa12_467f_b254_d074da8267d9"/>
      <w:bookmarkStart w:id="542" w:name="Tc_xVmXQbCaVk2Ra-x8WlDr1w_11_11"/>
      <w:bookmarkStart w:id="543" w:name="Tc_ViVdGb5Bvk20dN0MNa5xIg_11_8"/>
      <w:bookmarkStart w:id="544" w:name="Tc_5HktQvqYTESytyTEoJdrjQ_11_5"/>
      <w:bookmarkStart w:id="545" w:name="Tc_Kjw45dRUB0Ky9zrHBTkqEw_11_2"/>
      <w:bookmarkStart w:id="546" w:name="Tc_9P374z3lJ0evBaheB-UMxA_11_0"/>
      <w:bookmarkStart w:id="547" w:name="Tc_EdKMxMoPcEagviNVxLt_cg_10_0"/>
      <w:bookmarkStart w:id="548" w:name="Tc_dcjThn6c_UGM74IQMAU45A_9_0"/>
      <w:bookmarkStart w:id="549" w:name="Tc_RL0oY4qcak-rOgCr23Ieiw_8_0"/>
      <w:bookmarkStart w:id="550" w:name="Tc_kPT2HseZkECjqPjnAoGxhQ_7_0"/>
      <w:bookmarkStart w:id="551" w:name="Tc_JrSBRtzjF02l_vdzeik-jA_6_12"/>
      <w:bookmarkStart w:id="552" w:name="Tc_dpfKxfcOIU66QL6XmbyZyA_6_9"/>
      <w:bookmarkStart w:id="553" w:name="Tc_ZXoneW65jEWNy_AX1iw26Q_6_0"/>
      <w:bookmarkStart w:id="554" w:name="Tc_XyGnh9Qv-km1_V9YFWooag_5_12"/>
      <w:bookmarkStart w:id="555" w:name="Tc_VjMC0bpaukWsufpUWi6dvg_5_11"/>
      <w:bookmarkStart w:id="556" w:name="Tc_B3EOAFKe4UKHrs-bSfrdtA_5_9"/>
      <w:bookmarkStart w:id="557" w:name="Tc_vJzfSQDxy0CB94knTkhMaA_5_8"/>
      <w:bookmarkStart w:id="558" w:name="Tc_l3KejISCiEitS0-y3cliAA_5_5"/>
      <w:bookmarkStart w:id="559" w:name="Tc_tRvX2tCmOU29MTpqEPK03Q_5_2"/>
      <w:bookmarkStart w:id="560" w:name="Tc_l0_50opRVU-w4b4DyFpErQ_5_0"/>
      <w:bookmarkStart w:id="561" w:name="Tc_ad3MnQp3A0O2oY0yp0KUUg_4_11"/>
      <w:bookmarkStart w:id="562" w:name="Tc_RG95Mqw9aE2u_SQx58sTQQ_4_8"/>
      <w:bookmarkStart w:id="563" w:name="Tc_5NC_xExFWUe7a73Gb9ihuw_4_5"/>
      <w:bookmarkStart w:id="564" w:name="Tc_MJlQCR_fa06YIrGd0tFRLQ_4_2"/>
      <w:bookmarkStart w:id="565" w:name="Tc_p7o3FynN6EeXQmSuLum-Ow_3_8"/>
      <w:bookmarkStart w:id="566" w:name="Tc_dS7L88Na5UWydzcp7QbUdQ_3_2"/>
      <w:bookmarkStart w:id="567" w:name="Tc_pV6JXzc5tUizwXhokfzXFA_2_8"/>
      <w:bookmarkStart w:id="568" w:name="Tc_gnjpcy4gTUm_FpvHLCXUZA_2_2"/>
      <w:bookmarkStart w:id="569" w:name="Tc_S2i08A4A9EGfpliFGyUXTg_1_2"/>
      <w:bookmarkStart w:id="570" w:name="_10b63a2f_b96e_4906_9848_c18ec825f5ef"/>
      <w:bookmarkStart w:id="571" w:name="Tc_TBq5gmDaNk2btHQ41GJS3A_11_11"/>
      <w:bookmarkStart w:id="572" w:name="Tc_esJQHo44bUi_frk37-tqBw_11_8"/>
      <w:bookmarkStart w:id="573" w:name="Tc_Ycgrk-x9e0WNtED4g4PsHw_11_5"/>
      <w:bookmarkStart w:id="574" w:name="Tc_e9tdT6vAvk6b4_3T_sEjRA_11_2"/>
      <w:bookmarkStart w:id="575" w:name="Tc_DnP_GXJOwEiTvn-eK4YYsQ_11_0"/>
      <w:bookmarkStart w:id="576" w:name="Tc_VIoqR4WXF0iNeesO0dqgtw_10_0"/>
      <w:bookmarkStart w:id="577" w:name="Tc_ef45obhLxk-HELDc4YSOng_9_0"/>
      <w:bookmarkStart w:id="578" w:name="Tc_l10mfBTaWke3Bf7K4dR37w_8_0"/>
      <w:bookmarkStart w:id="579" w:name="Tc_cUMTkZ5shU6oZT6w-rMKCQ_7_0"/>
      <w:bookmarkStart w:id="580" w:name="Tc_HLQqhwf3MUGjyCsxMOeiVw_6_12"/>
      <w:bookmarkStart w:id="581" w:name="Tc_eJg2Lh_mvES7VOJ0tuzWOA_6_9"/>
      <w:bookmarkStart w:id="582" w:name="Tc_ilhIU3kI2E6vAyLviHct6A_6_0"/>
      <w:bookmarkStart w:id="583" w:name="Tc_7np7Co5K1U2_JVp1IRzRFw_5_12"/>
      <w:bookmarkStart w:id="584" w:name="Tc_CyVoeLExoku-rEKmDYWOgA_5_11"/>
      <w:bookmarkStart w:id="585" w:name="Tc_7Q9sgk_uY0GRxfUTDxwIVg_5_9"/>
      <w:bookmarkStart w:id="586" w:name="Tc_0iAKG5npGUKKeFFbkhQVZA_5_8"/>
      <w:bookmarkStart w:id="587" w:name="Tc_64GAtIVDLUS8Z-KZilC_zw_5_5"/>
      <w:bookmarkStart w:id="588" w:name="Tc_7OUIfQKr-ECpMRsRN90ESw_5_2"/>
      <w:bookmarkStart w:id="589" w:name="Tc_26tws_8SJ0aTvC9dda3Auw_5_0"/>
      <w:bookmarkStart w:id="590" w:name="Tc_H-rf7YLPbE2iy59nsxJ-bg_4_11"/>
      <w:bookmarkStart w:id="591" w:name="Tc_zGw0qtrjFEGJl62P7eKj4g_4_8"/>
      <w:bookmarkStart w:id="592" w:name="Tc_7grjZ7M2Qk20-dOB3LSuCw_4_5"/>
      <w:bookmarkStart w:id="593" w:name="Tc_ocdSQv5ul0yrjUyvErOC_Q_4_2"/>
      <w:bookmarkStart w:id="594" w:name="Tc_IsDH-eZRkE-vg3n9CMDbtw_3_8"/>
      <w:bookmarkStart w:id="595" w:name="Tc_juRY4lxr9Eqc8XRzhF8bZQ_3_2"/>
      <w:bookmarkStart w:id="596" w:name="Tc__V9h3zm7eUShkieOJLg5mA_2_8"/>
      <w:bookmarkStart w:id="597" w:name="Tc_9yyOkp_S5k-0dkYnwmnkEQ_2_2"/>
      <w:bookmarkStart w:id="598" w:name="Tc_amytbBI3YU6HXvctH9FAYA_1_2"/>
      <w:bookmarkStart w:id="599" w:name="_56bbad8b_1ce8_4bd1_9f51_39d3c08a2085"/>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r>
        <w:rPr>
          <w:rFonts w:ascii="Times New Roman;Times;serif" w:hAnsi="Times New Roman;Times;serif"/>
          <w:b/>
          <w:i w:val="false"/>
          <w:caps w:val="false"/>
          <w:smallCaps w:val="false"/>
          <w:sz w:val="20"/>
        </w:rPr>
        <w:t>4.</w:t>
      </w:r>
      <w:r>
        <w:rPr>
          <w:rFonts w:ascii="Times New Roman;Times;serif" w:hAnsi="Times New Roman;Times;serif"/>
          <w:b/>
          <w:sz w:val="20"/>
        </w:rPr>
        <w:t>Investment Securities (continued)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amortized cost and fair value of investment securities by contractual maturity are as follows (in thousands):</w:t>
      </w:r>
    </w:p>
    <w:tbl>
      <w:tblPr>
        <w:tblW w:w="7568" w:type="dxa"/>
        <w:jc w:val="left"/>
        <w:tblInd w:w="0" w:type="dxa"/>
        <w:tblLayout w:type="fixed"/>
        <w:tblCellMar>
          <w:top w:w="0" w:type="dxa"/>
          <w:left w:w="0" w:type="dxa"/>
          <w:bottom w:w="0" w:type="dxa"/>
          <w:right w:w="0" w:type="dxa"/>
        </w:tblCellMar>
      </w:tblPr>
      <w:tblGrid>
        <w:gridCol w:w="2401"/>
        <w:gridCol w:w="326"/>
        <w:gridCol w:w="211"/>
        <w:gridCol w:w="781"/>
        <w:gridCol w:w="326"/>
        <w:gridCol w:w="211"/>
        <w:gridCol w:w="781"/>
        <w:gridCol w:w="326"/>
        <w:gridCol w:w="211"/>
        <w:gridCol w:w="676"/>
        <w:gridCol w:w="326"/>
        <w:gridCol w:w="211"/>
        <w:gridCol w:w="781"/>
      </w:tblGrid>
      <w:tr>
        <w:trPr/>
        <w:tc>
          <w:tcPr>
            <w:tcW w:w="2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524635" cy="175260"/>
                      <wp:effectExtent l="0" t="0" r="0" b="0"/>
                      <wp:wrapNone/>
                      <wp:docPr id="76" name="Frame75"/>
                      <a:graphic xmlns:a="http://schemas.openxmlformats.org/drawingml/2006/main">
                        <a:graphicData uri="http://schemas.microsoft.com/office/word/2010/wordprocessingShape">
                          <wps:wsp>
                            <wps:cNvSpPr txBox="1"/>
                            <wps:spPr>
                              <a:xfrm>
                                <a:off x="0" y="0"/>
                                <a:ext cx="1524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77" name="Frame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3985" cy="175260"/>
                      <wp:effectExtent l="0" t="0" r="0" b="0"/>
                      <wp:wrapNone/>
                      <wp:docPr id="78" name="Frame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495935" cy="175260"/>
                      <wp:effectExtent l="0" t="0" r="0" b="0"/>
                      <wp:wrapNone/>
                      <wp:docPr id="79" name="Frame7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80"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33985" cy="175260"/>
                      <wp:effectExtent l="0" t="0" r="0" b="0"/>
                      <wp:wrapNone/>
                      <wp:docPr id="81" name="Frame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495935" cy="175260"/>
                      <wp:effectExtent l="0" t="0" r="0" b="0"/>
                      <wp:wrapNone/>
                      <wp:docPr id="82" name="Frame8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3" name="Frame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33985" cy="175260"/>
                      <wp:effectExtent l="0" t="0" r="0" b="0"/>
                      <wp:wrapNone/>
                      <wp:docPr id="84" name="Frame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429260" cy="175260"/>
                      <wp:effectExtent l="0" t="0" r="0" b="0"/>
                      <wp:wrapNone/>
                      <wp:docPr id="85" name="Frame8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7010" cy="175260"/>
                      <wp:effectExtent l="0" t="0" r="0" b="0"/>
                      <wp:wrapNone/>
                      <wp:docPr id="86"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3985" cy="175260"/>
                      <wp:effectExtent l="0" t="0" r="0" b="0"/>
                      <wp:wrapNone/>
                      <wp:docPr id="87"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495935" cy="175260"/>
                      <wp:effectExtent l="0" t="0" r="0" b="0"/>
                      <wp:wrapNone/>
                      <wp:docPr id="88" name="Frame8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84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r>
      <w:tr>
        <w:trPr/>
        <w:tc>
          <w:tcPr>
            <w:tcW w:w="2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Available-for-Sale</w:t>
            </w:r>
          </w:p>
        </w:tc>
        <w:tc>
          <w:tcPr>
            <w:tcW w:w="326" w:type="dxa"/>
            <w:tcBorders/>
            <w:vAlign w:val="center"/>
          </w:tcPr>
          <w:p>
            <w:pPr>
              <w:pStyle w:val="TableContents"/>
              <w:bidi w:val="0"/>
              <w:spacing w:before="0" w:after="0"/>
              <w:ind w:left="0" w:right="0" w:hanging="0"/>
              <w:jc w:val="center"/>
              <w:rPr/>
            </w:pPr>
            <w:r>
              <w:rPr/>
              <w:t>​</w:t>
            </w:r>
          </w:p>
        </w:tc>
        <w:tc>
          <w:tcPr>
            <w:tcW w:w="22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Held-to-Maturity</w:t>
            </w:r>
          </w:p>
        </w:tc>
      </w:tr>
      <w:tr>
        <w:trPr/>
        <w:tc>
          <w:tcPr>
            <w:tcW w:w="2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2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in 1 year or less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in 1 to 5 years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12,232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11,026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r>
      <w:tr>
        <w:trPr/>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after 5 years to 10 years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26,459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216</w:t>
            </w:r>
          </w:p>
        </w:tc>
      </w:tr>
      <w:tr>
        <w:trPr/>
        <w:tc>
          <w:tcPr>
            <w:tcW w:w="240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Due after 10 years</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7,494</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5,829</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1,980</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1,548</w:t>
            </w:r>
          </w:p>
        </w:tc>
      </w:tr>
      <w:tr>
        <w:trPr/>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Total</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46,682</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39,375</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2,228</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1,764</w:t>
            </w:r>
          </w:p>
        </w:tc>
      </w:tr>
      <w:tr>
        <w:trPr/>
        <w:tc>
          <w:tcPr>
            <w:tcW w:w="240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Mortgage-backed</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78,387</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69,466</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27,576</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25,514</w:t>
            </w:r>
          </w:p>
        </w:tc>
      </w:tr>
      <w:tr>
        <w:trPr/>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Total</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125,069</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108,841</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29,804</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color w:val="231F20"/>
                <w:sz w:val="20"/>
              </w:rPr>
            </w:pPr>
            <w:r>
              <w:rPr>
                <w:rFonts w:ascii="Times New Roman;Times;serif" w:hAnsi="Times New Roman;Times;serif"/>
                <w:b/>
                <w:color w:val="231F20"/>
                <w:sz w:val="20"/>
              </w:rPr>
              <w:t>27,278</w:t>
            </w:r>
          </w:p>
        </w:tc>
      </w:tr>
    </w:tbl>
    <w:p>
      <w:pPr>
        <w:pStyle w:val="TextBody"/>
        <w:bidi w:val="0"/>
        <w:spacing w:before="0" w:after="0"/>
        <w:ind w:left="0" w:right="0" w:hanging="0"/>
        <w:jc w:val="left"/>
        <w:rPr>
          <w:shd w:fill="FFFF00" w:val="clear"/>
        </w:rPr>
      </w:pPr>
      <w:r>
        <w:rPr>
          <w:shd w:fill="FFFF00" w:val="clear"/>
        </w:rPr>
        <w:t>​</w:t>
      </w:r>
    </w:p>
    <w:tbl>
      <w:tblPr>
        <w:tblW w:w="7568" w:type="dxa"/>
        <w:jc w:val="left"/>
        <w:tblInd w:w="0" w:type="dxa"/>
        <w:tblLayout w:type="fixed"/>
        <w:tblCellMar>
          <w:top w:w="0" w:type="dxa"/>
          <w:left w:w="0" w:type="dxa"/>
          <w:bottom w:w="0" w:type="dxa"/>
          <w:right w:w="0" w:type="dxa"/>
        </w:tblCellMar>
      </w:tblPr>
      <w:tblGrid>
        <w:gridCol w:w="2401"/>
        <w:gridCol w:w="326"/>
        <w:gridCol w:w="211"/>
        <w:gridCol w:w="781"/>
        <w:gridCol w:w="326"/>
        <w:gridCol w:w="211"/>
        <w:gridCol w:w="781"/>
        <w:gridCol w:w="326"/>
        <w:gridCol w:w="211"/>
        <w:gridCol w:w="676"/>
        <w:gridCol w:w="326"/>
        <w:gridCol w:w="211"/>
        <w:gridCol w:w="781"/>
      </w:tblGrid>
      <w:tr>
        <w:trPr/>
        <w:tc>
          <w:tcPr>
            <w:tcW w:w="2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524635" cy="175260"/>
                      <wp:effectExtent l="0" t="0" r="0" b="0"/>
                      <wp:wrapNone/>
                      <wp:docPr id="89" name="Frame88"/>
                      <a:graphic xmlns:a="http://schemas.openxmlformats.org/drawingml/2006/main">
                        <a:graphicData uri="http://schemas.microsoft.com/office/word/2010/wordprocessingShape">
                          <wps:wsp>
                            <wps:cNvSpPr txBox="1"/>
                            <wps:spPr>
                              <a:xfrm>
                                <a:off x="0" y="0"/>
                                <a:ext cx="1524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7010" cy="175260"/>
                      <wp:effectExtent l="0" t="0" r="0" b="0"/>
                      <wp:wrapNone/>
                      <wp:docPr id="90" name="Frame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33985" cy="175260"/>
                      <wp:effectExtent l="0" t="0" r="0" b="0"/>
                      <wp:wrapNone/>
                      <wp:docPr id="91" name="Frame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495935" cy="175260"/>
                      <wp:effectExtent l="0" t="0" r="0" b="0"/>
                      <wp:wrapNone/>
                      <wp:docPr id="92" name="Frame9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7010" cy="175260"/>
                      <wp:effectExtent l="0" t="0" r="0" b="0"/>
                      <wp:wrapNone/>
                      <wp:docPr id="93"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3985" cy="175260"/>
                      <wp:effectExtent l="0" t="0" r="0" b="0"/>
                      <wp:wrapNone/>
                      <wp:docPr id="94" name="Frame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95935" cy="175260"/>
                      <wp:effectExtent l="0" t="0" r="0" b="0"/>
                      <wp:wrapNone/>
                      <wp:docPr id="95" name="Frame9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96" name="Frame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97" name="Frame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429260" cy="175260"/>
                      <wp:effectExtent l="0" t="0" r="0" b="0"/>
                      <wp:wrapNone/>
                      <wp:docPr id="98" name="Frame9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9" name="Frame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33985" cy="175260"/>
                      <wp:effectExtent l="0" t="0" r="0" b="0"/>
                      <wp:wrapNone/>
                      <wp:docPr id="100" name="Frame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495935" cy="175260"/>
                      <wp:effectExtent l="0" t="0" r="0" b="0"/>
                      <wp:wrapNone/>
                      <wp:docPr id="101" name="Frame10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01" w:type="dxa"/>
            <w:tcBorders/>
            <w:vAlign w:val="center"/>
          </w:tcPr>
          <w:p>
            <w:pPr>
              <w:pStyle w:val="TableContents"/>
              <w:bidi w:val="0"/>
              <w:spacing w:before="0" w:after="0"/>
              <w:ind w:left="0" w:right="0" w:hanging="0"/>
              <w:jc w:val="left"/>
              <w:rPr>
                <w:color w:val="231F20"/>
              </w:rPr>
            </w:pPr>
            <w:r>
              <w:rPr>
                <w:color w:val="231F20"/>
              </w:rPr>
              <w:t>​</w:t>
            </w:r>
          </w:p>
        </w:tc>
        <w:tc>
          <w:tcPr>
            <w:tcW w:w="326" w:type="dxa"/>
            <w:tcBorders/>
            <w:vAlign w:val="center"/>
          </w:tcPr>
          <w:p>
            <w:pPr>
              <w:pStyle w:val="TableContents"/>
              <w:bidi w:val="0"/>
              <w:spacing w:before="0" w:after="0"/>
              <w:ind w:left="0" w:right="0" w:hanging="0"/>
              <w:jc w:val="center"/>
              <w:rPr>
                <w:color w:val="231F20"/>
              </w:rPr>
            </w:pPr>
            <w:r>
              <w:rPr>
                <w:color w:val="231F20"/>
              </w:rPr>
              <w:t>​</w:t>
            </w:r>
          </w:p>
        </w:tc>
        <w:tc>
          <w:tcPr>
            <w:tcW w:w="484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December 31, 2024</w:t>
            </w:r>
          </w:p>
        </w:tc>
      </w:tr>
      <w:tr>
        <w:trPr/>
        <w:tc>
          <w:tcPr>
            <w:tcW w:w="2401" w:type="dxa"/>
            <w:tcBorders/>
            <w:vAlign w:val="center"/>
          </w:tcPr>
          <w:p>
            <w:pPr>
              <w:pStyle w:val="TableContents"/>
              <w:bidi w:val="0"/>
              <w:spacing w:before="0" w:after="0"/>
              <w:ind w:left="0" w:right="0" w:hanging="0"/>
              <w:jc w:val="left"/>
              <w:rPr>
                <w:color w:val="231F20"/>
              </w:rPr>
            </w:pPr>
            <w:r>
              <w:rPr>
                <w:color w:val="231F20"/>
              </w:rPr>
              <w:t>​</w:t>
            </w:r>
          </w:p>
        </w:tc>
        <w:tc>
          <w:tcPr>
            <w:tcW w:w="326" w:type="dxa"/>
            <w:tcBorders/>
            <w:vAlign w:val="center"/>
          </w:tcPr>
          <w:p>
            <w:pPr>
              <w:pStyle w:val="TableContents"/>
              <w:bidi w:val="0"/>
              <w:spacing w:before="0" w:after="0"/>
              <w:ind w:left="0" w:right="0" w:hanging="0"/>
              <w:jc w:val="center"/>
              <w:rPr>
                <w:color w:val="231F20"/>
              </w:rPr>
            </w:pPr>
            <w:r>
              <w:rPr>
                <w:color w:val="231F20"/>
              </w:rPr>
              <w:t>​</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Available-for-Sale</w:t>
            </w:r>
          </w:p>
        </w:tc>
        <w:tc>
          <w:tcPr>
            <w:tcW w:w="326" w:type="dxa"/>
            <w:tcBorders/>
            <w:vAlign w:val="center"/>
          </w:tcPr>
          <w:p>
            <w:pPr>
              <w:pStyle w:val="TableContents"/>
              <w:bidi w:val="0"/>
              <w:spacing w:before="0" w:after="0"/>
              <w:ind w:left="0" w:right="0" w:hanging="0"/>
              <w:jc w:val="center"/>
              <w:rPr>
                <w:color w:val="231F20"/>
              </w:rPr>
            </w:pPr>
            <w:r>
              <w:rPr>
                <w:color w:val="231F20"/>
              </w:rPr>
              <w:t>​</w:t>
            </w:r>
          </w:p>
        </w:tc>
        <w:tc>
          <w:tcPr>
            <w:tcW w:w="22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Held-to-Maturity</w:t>
            </w:r>
          </w:p>
        </w:tc>
      </w:tr>
      <w:tr>
        <w:trPr/>
        <w:tc>
          <w:tcPr>
            <w:tcW w:w="2401" w:type="dxa"/>
            <w:tcBorders/>
            <w:vAlign w:val="center"/>
          </w:tcPr>
          <w:p>
            <w:pPr>
              <w:pStyle w:val="TableContents"/>
              <w:bidi w:val="0"/>
              <w:spacing w:before="0" w:after="0"/>
              <w:ind w:left="0" w:right="0" w:hanging="0"/>
              <w:jc w:val="left"/>
              <w:rPr>
                <w:color w:val="231F20"/>
              </w:rPr>
            </w:pPr>
            <w:r>
              <w:rPr>
                <w:color w:val="231F20"/>
              </w:rPr>
              <w:t>​</w:t>
            </w:r>
          </w:p>
        </w:tc>
        <w:tc>
          <w:tcPr>
            <w:tcW w:w="326" w:type="dxa"/>
            <w:tcBorders/>
            <w:vAlign w:val="center"/>
          </w:tcPr>
          <w:p>
            <w:pPr>
              <w:pStyle w:val="TableContents"/>
              <w:bidi w:val="0"/>
              <w:spacing w:before="0" w:after="0"/>
              <w:ind w:left="0" w:right="0" w:hanging="0"/>
              <w:jc w:val="center"/>
              <w:rPr>
                <w:color w:val="231F20"/>
              </w:rPr>
            </w:pPr>
            <w:r>
              <w:rPr>
                <w:color w:val="231F20"/>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before="0" w:after="0"/>
              <w:ind w:left="0" w:right="0" w:hanging="0"/>
              <w:jc w:val="center"/>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w:t>
            </w:r>
          </w:p>
        </w:tc>
        <w:tc>
          <w:tcPr>
            <w:tcW w:w="781" w:type="dxa"/>
            <w:tcBorders/>
            <w:vAlign w:val="center"/>
          </w:tcPr>
          <w:p>
            <w:pPr>
              <w:pStyle w:val="TableContents"/>
              <w:bidi w:val="0"/>
              <w:spacing w:before="0" w:after="0"/>
              <w:ind w:left="0" w:right="0" w:hanging="0"/>
              <w:jc w:val="center"/>
              <w:rPr>
                <w:color w:val="231F20"/>
              </w:rPr>
            </w:pPr>
            <w:r>
              <w:rPr>
                <w:color w:val="231F20"/>
              </w:rPr>
              <w:t>​</w:t>
            </w:r>
          </w:p>
        </w:tc>
        <w:tc>
          <w:tcPr>
            <w:tcW w:w="326" w:type="dxa"/>
            <w:tcBorders/>
            <w:vAlign w:val="center"/>
          </w:tcPr>
          <w:p>
            <w:pPr>
              <w:pStyle w:val="TableContents"/>
              <w:bidi w:val="0"/>
              <w:spacing w:before="0" w:after="0"/>
              <w:ind w:left="0" w:right="0" w:hanging="0"/>
              <w:jc w:val="center"/>
              <w:rPr>
                <w:color w:val="231F20"/>
              </w:rPr>
            </w:pPr>
            <w:r>
              <w:rPr>
                <w:color w:val="231F20"/>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before="0" w:after="0"/>
              <w:ind w:left="0" w:right="0" w:hanging="0"/>
              <w:jc w:val="center"/>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w:t>
            </w:r>
          </w:p>
        </w:tc>
        <w:tc>
          <w:tcPr>
            <w:tcW w:w="781" w:type="dxa"/>
            <w:tcBorders/>
            <w:vAlign w:val="center"/>
          </w:tcPr>
          <w:p>
            <w:pPr>
              <w:pStyle w:val="TableContents"/>
              <w:bidi w:val="0"/>
              <w:spacing w:before="0" w:after="0"/>
              <w:ind w:left="0" w:right="0" w:hanging="0"/>
              <w:jc w:val="center"/>
              <w:rPr>
                <w:color w:val="231F20"/>
              </w:rPr>
            </w:pPr>
            <w:r>
              <w:rPr>
                <w:color w:val="231F20"/>
              </w:rPr>
              <w:t>​</w:t>
            </w:r>
          </w:p>
        </w:tc>
      </w:tr>
      <w:tr>
        <w:trPr/>
        <w:tc>
          <w:tcPr>
            <w:tcW w:w="2401" w:type="dxa"/>
            <w:tcBorders/>
            <w:vAlign w:val="center"/>
          </w:tcPr>
          <w:p>
            <w:pPr>
              <w:pStyle w:val="TableContents"/>
              <w:bidi w:val="0"/>
              <w:spacing w:before="0" w:after="0"/>
              <w:ind w:left="0" w:right="0" w:hanging="0"/>
              <w:jc w:val="left"/>
              <w:rPr>
                <w:color w:val="231F20"/>
              </w:rPr>
            </w:pPr>
            <w:r>
              <w:rPr>
                <w:color w:val="231F20"/>
              </w:rPr>
              <w:t>​</w:t>
            </w:r>
          </w:p>
        </w:tc>
        <w:tc>
          <w:tcPr>
            <w:tcW w:w="326" w:type="dxa"/>
            <w:tcBorders/>
            <w:vAlign w:val="center"/>
          </w:tcPr>
          <w:p>
            <w:pPr>
              <w:pStyle w:val="TableContents"/>
              <w:bidi w:val="0"/>
              <w:spacing w:before="0" w:after="0"/>
              <w:ind w:left="0" w:right="0" w:hanging="0"/>
              <w:jc w:val="center"/>
              <w:rPr>
                <w:color w:val="231F20"/>
              </w:rPr>
            </w:pPr>
            <w:r>
              <w:rPr>
                <w:color w:val="231F20"/>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0"/>
              <w:ind w:left="0" w:right="0" w:hanging="0"/>
              <w:jc w:val="center"/>
              <w:rPr>
                <w:color w:val="231F20"/>
              </w:rPr>
            </w:pPr>
            <w:r>
              <w:rPr>
                <w:color w:val="231F20"/>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vAlign w:val="center"/>
          </w:tcPr>
          <w:p>
            <w:pPr>
              <w:pStyle w:val="TableContents"/>
              <w:bidi w:val="0"/>
              <w:spacing w:before="0" w:after="0"/>
              <w:ind w:left="0" w:right="0" w:hanging="0"/>
              <w:jc w:val="center"/>
              <w:rPr>
                <w:color w:val="231F20"/>
              </w:rPr>
            </w:pPr>
            <w:r>
              <w:rPr>
                <w:color w:val="231F20"/>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0"/>
              <w:ind w:left="0" w:right="0" w:hanging="0"/>
              <w:jc w:val="center"/>
              <w:rPr>
                <w:color w:val="231F20"/>
              </w:rPr>
            </w:pPr>
            <w:r>
              <w:rPr>
                <w:color w:val="231F20"/>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Due in 1 year or less</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4,955</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4,955</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67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781" w:type="dxa"/>
            <w:tcBorders/>
            <w:shd w:fill="CCEEFF" w:val="clear"/>
            <w:vAlign w:val="center"/>
          </w:tcPr>
          <w:p>
            <w:pPr>
              <w:pStyle w:val="TableContents"/>
              <w:bidi w:val="0"/>
              <w:spacing w:before="0" w:after="0"/>
              <w:ind w:left="0" w:right="0" w:hanging="0"/>
              <w:jc w:val="right"/>
              <w:rPr>
                <w:color w:val="231F20"/>
              </w:rPr>
            </w:pPr>
            <w:r>
              <w:rPr>
                <w:color w:val="231F20"/>
              </w:rPr>
              <w:t>—</w:t>
            </w:r>
          </w:p>
        </w:tc>
      </w:tr>
      <w:tr>
        <w:trPr/>
        <w:tc>
          <w:tcPr>
            <w:tcW w:w="240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Due after 1 year to 5 years</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2,228</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2,000</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676" w:type="dxa"/>
            <w:tcBorders/>
            <w:vAlign w:val="center"/>
          </w:tcPr>
          <w:p>
            <w:pPr>
              <w:pStyle w:val="TableContents"/>
              <w:bidi w:val="0"/>
              <w:spacing w:before="0" w:after="0"/>
              <w:ind w:left="0" w:right="0" w:hanging="0"/>
              <w:jc w:val="right"/>
              <w:rPr>
                <w:color w:val="231F20"/>
              </w:rPr>
            </w:pPr>
            <w:r>
              <w:rPr>
                <w:color w:val="231F20"/>
              </w:rPr>
              <w:t>—</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781" w:type="dxa"/>
            <w:tcBorders/>
            <w:vAlign w:val="center"/>
          </w:tcPr>
          <w:p>
            <w:pPr>
              <w:pStyle w:val="TableContents"/>
              <w:bidi w:val="0"/>
              <w:spacing w:before="0" w:after="0"/>
              <w:ind w:left="0" w:right="0" w:hanging="0"/>
              <w:jc w:val="right"/>
              <w:rPr>
                <w:color w:val="231F20"/>
              </w:rPr>
            </w:pPr>
            <w:r>
              <w:rPr>
                <w:color w:val="231F20"/>
              </w:rPr>
              <w:t>—</w:t>
            </w:r>
          </w:p>
        </w:tc>
      </w:tr>
      <w:tr>
        <w:trPr/>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Due after 5 years to 10 years</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30,461</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24,648</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248</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204</w:t>
            </w:r>
          </w:p>
        </w:tc>
      </w:tr>
      <w:tr>
        <w:trPr/>
        <w:tc>
          <w:tcPr>
            <w:tcW w:w="240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Due after 10 years</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13,488</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9,844</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1,978</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1,465</w:t>
            </w:r>
          </w:p>
        </w:tc>
      </w:tr>
      <w:tr>
        <w:trPr/>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Total</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51,132</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41,447</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2,226</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1,669</w:t>
            </w:r>
          </w:p>
        </w:tc>
      </w:tr>
      <w:tr>
        <w:trPr/>
        <w:tc>
          <w:tcPr>
            <w:tcW w:w="240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Mortgage-backed</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87,649</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75,108</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31,796</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28,746</w:t>
            </w:r>
          </w:p>
        </w:tc>
      </w:tr>
      <w:tr>
        <w:trPr/>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Total</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138,781</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116,555</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34,022</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color w:val="231F20"/>
                <w:sz w:val="20"/>
              </w:rPr>
            </w:pPr>
            <w:r>
              <w:rPr>
                <w:rFonts w:ascii="Times New Roman;Times;serif" w:hAnsi="Times New Roman;Times;serif"/>
                <w:color w:val="231F20"/>
                <w:sz w:val="20"/>
              </w:rPr>
              <w:t>30,415</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were no sales of investment securities available-for-sale during the nine months ended September 30, 2025 or September 30,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Information pertaining to debt securities with gross unrealized losses at September 30, 2025 and December 31, 2024 aggregated by investment category and length of time that individual securities have been in a continuous loss position follows (in thousands):</w:t>
      </w:r>
    </w:p>
    <w:tbl>
      <w:tblPr>
        <w:tblW w:w="6935" w:type="dxa"/>
        <w:jc w:val="left"/>
        <w:tblInd w:w="0" w:type="dxa"/>
        <w:tblLayout w:type="fixed"/>
        <w:tblCellMar>
          <w:top w:w="0" w:type="dxa"/>
          <w:left w:w="0" w:type="dxa"/>
          <w:bottom w:w="0" w:type="dxa"/>
          <w:right w:w="0" w:type="dxa"/>
        </w:tblCellMar>
      </w:tblPr>
      <w:tblGrid>
        <w:gridCol w:w="1636"/>
        <w:gridCol w:w="326"/>
        <w:gridCol w:w="335"/>
        <w:gridCol w:w="551"/>
        <w:gridCol w:w="445"/>
        <w:gridCol w:w="335"/>
        <w:gridCol w:w="551"/>
        <w:gridCol w:w="326"/>
        <w:gridCol w:w="211"/>
        <w:gridCol w:w="796"/>
        <w:gridCol w:w="326"/>
        <w:gridCol w:w="211"/>
        <w:gridCol w:w="886"/>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038860" cy="175260"/>
                      <wp:effectExtent l="0" t="0" r="0" b="0"/>
                      <wp:wrapNone/>
                      <wp:docPr id="102" name="Frame101"/>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3" name="Frame1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2725" cy="175260"/>
                      <wp:effectExtent l="0" t="0" r="0" b="0"/>
                      <wp:wrapNone/>
                      <wp:docPr id="104" name="Frame103"/>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349885" cy="175260"/>
                      <wp:effectExtent l="0" t="0" r="0" b="0"/>
                      <wp:wrapNone/>
                      <wp:docPr id="105" name="Frame104"/>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82575" cy="175260"/>
                      <wp:effectExtent l="0" t="0" r="0" b="0"/>
                      <wp:wrapNone/>
                      <wp:docPr id="106" name="Frame105"/>
                      <a:graphic xmlns:a="http://schemas.openxmlformats.org/drawingml/2006/main">
                        <a:graphicData uri="http://schemas.microsoft.com/office/word/2010/wordprocessingShape">
                          <wps:wsp>
                            <wps:cNvSpPr txBox="1"/>
                            <wps:spPr>
                              <a:xfrm>
                                <a:off x="0" y="0"/>
                                <a:ext cx="282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2725" cy="175260"/>
                      <wp:effectExtent l="0" t="0" r="0" b="0"/>
                      <wp:wrapNone/>
                      <wp:docPr id="107" name="Frame106"/>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349885" cy="175260"/>
                      <wp:effectExtent l="0" t="0" r="0" b="0"/>
                      <wp:wrapNone/>
                      <wp:docPr id="108" name="Frame107"/>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9" name="Frame1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3985" cy="175260"/>
                      <wp:effectExtent l="0" t="0" r="0" b="0"/>
                      <wp:wrapNone/>
                      <wp:docPr id="110" name="Frame1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05460" cy="175260"/>
                      <wp:effectExtent l="0" t="0" r="0" b="0"/>
                      <wp:wrapNone/>
                      <wp:docPr id="111" name="Frame11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2" name="Frame1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3985" cy="175260"/>
                      <wp:effectExtent l="0" t="0" r="0" b="0"/>
                      <wp:wrapNone/>
                      <wp:docPr id="113" name="Frame1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562610" cy="175260"/>
                      <wp:effectExtent l="0" t="0" r="0" b="0"/>
                      <wp:wrapNone/>
                      <wp:docPr id="114" name="Frame11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973"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21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Less Than Twelve Months</w:t>
            </w:r>
          </w:p>
        </w:tc>
        <w:tc>
          <w:tcPr>
            <w:tcW w:w="326" w:type="dxa"/>
            <w:tcBorders/>
            <w:vAlign w:val="center"/>
          </w:tcPr>
          <w:p>
            <w:pPr>
              <w:pStyle w:val="TableContents"/>
              <w:bidi w:val="0"/>
              <w:spacing w:before="0" w:after="0"/>
              <w:ind w:left="0" w:right="0" w:hanging="0"/>
              <w:jc w:val="center"/>
              <w:rPr/>
            </w:pPr>
            <w:r>
              <w:rPr/>
              <w:t>​</w:t>
            </w:r>
          </w:p>
        </w:tc>
        <w:tc>
          <w:tcPr>
            <w:tcW w:w="24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Over Twelve Months</w: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445"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0"/>
              <w:ind w:left="0" w:right="0" w:hanging="0"/>
              <w:jc w:val="center"/>
              <w:rPr/>
            </w:pPr>
            <w:r>
              <w:rPr/>
              <w:t>​</w:t>
            </w:r>
          </w:p>
        </w:tc>
        <w:tc>
          <w:tcPr>
            <w:tcW w:w="1097" w:type="dxa"/>
            <w:gridSpan w:val="2"/>
            <w:tcBorders/>
            <w:vAlign w:val="center"/>
          </w:tcPr>
          <w:p>
            <w:pPr>
              <w:pStyle w:val="TableContents"/>
              <w:bidi w:val="0"/>
              <w:spacing w:before="0" w:after="0"/>
              <w:ind w:left="0" w:right="0" w:hanging="0"/>
              <w:jc w:val="center"/>
              <w:rPr/>
            </w:pPr>
            <w:r>
              <w:rPr/>
              <w:t>​</w: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445"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center"/>
              <w:rPr/>
            </w:pPr>
            <w:r>
              <w:rPr/>
              <w:t>​</w:t>
            </w:r>
          </w:p>
        </w:tc>
        <w:tc>
          <w:tcPr>
            <w:tcW w:w="1097" w:type="dxa"/>
            <w:gridSpan w:val="2"/>
            <w:tcBorders/>
            <w:vAlign w:val="center"/>
          </w:tcPr>
          <w:p>
            <w:pPr>
              <w:pStyle w:val="TableContents"/>
              <w:bidi w:val="0"/>
              <w:spacing w:before="0" w:after="0"/>
              <w:ind w:left="0" w:right="0" w:hanging="0"/>
              <w:jc w:val="center"/>
              <w:rPr/>
            </w:pPr>
            <w:r>
              <w:rPr/>
              <w:t>​</w: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445" w:type="dxa"/>
            <w:tcBorders/>
            <w:vAlign w:val="center"/>
          </w:tcPr>
          <w:p>
            <w:pPr>
              <w:pStyle w:val="TableContents"/>
              <w:bidi w:val="0"/>
              <w:spacing w:before="0" w:after="0"/>
              <w:ind w:left="0" w:right="0" w:hanging="0"/>
              <w:jc w:val="left"/>
              <w:rPr/>
            </w:pPr>
            <w:r>
              <w:rPr/>
              <w:t>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0"/>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right"/>
              <w:rPr/>
            </w:pPr>
            <w:r>
              <w:rPr/>
              <w:t>​</w:t>
            </w:r>
          </w:p>
        </w:tc>
        <w:tc>
          <w:tcPr>
            <w:tcW w:w="445"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Agencies</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51" w:type="dxa"/>
            <w:tcBorders/>
            <w:vAlign w:val="center"/>
          </w:tcPr>
          <w:p>
            <w:pPr>
              <w:pStyle w:val="TableContents"/>
              <w:bidi w:val="0"/>
              <w:spacing w:before="0" w:after="0"/>
              <w:ind w:left="0" w:right="0" w:hanging="0"/>
              <w:jc w:val="right"/>
              <w:rPr/>
            </w:pPr>
            <w:r>
              <w:rPr/>
              <w:t>—</w:t>
            </w:r>
          </w:p>
        </w:tc>
        <w:tc>
          <w:tcPr>
            <w:tcW w:w="445"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(7,287)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38,194</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Mortgage-backed</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 </w:t>
            </w:r>
          </w:p>
        </w:tc>
        <w:tc>
          <w:tcPr>
            <w:tcW w:w="551" w:type="dxa"/>
            <w:tcBorders/>
            <w:shd w:fill="CCEEFF" w:val="clear"/>
            <w:vAlign w:val="center"/>
          </w:tcPr>
          <w:p>
            <w:pPr>
              <w:pStyle w:val="TableContents"/>
              <w:bidi w:val="0"/>
              <w:spacing w:before="0" w:after="0"/>
              <w:ind w:left="0" w:right="0" w:hanging="0"/>
              <w:jc w:val="right"/>
              <w:rPr/>
            </w:pPr>
            <w:r>
              <w:rPr/>
              <w:t>—</w:t>
            </w:r>
          </w:p>
        </w:tc>
        <w:tc>
          <w:tcPr>
            <w:tcW w:w="445"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 </w:t>
            </w:r>
          </w:p>
        </w:tc>
        <w:tc>
          <w:tcPr>
            <w:tcW w:w="5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(8,967)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65,729</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Municipal bonds</w:t>
            </w:r>
          </w:p>
        </w:tc>
        <w:tc>
          <w:tcPr>
            <w:tcW w:w="326" w:type="dxa"/>
            <w:tcBorders/>
            <w:vAlign w:val="center"/>
          </w:tcPr>
          <w:p>
            <w:pPr>
              <w:pStyle w:val="TableContents"/>
              <w:bidi w:val="0"/>
              <w:spacing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45" w:type="dxa"/>
            <w:tcBorders/>
            <w:vAlign w:val="center"/>
          </w:tcPr>
          <w:p>
            <w:pPr>
              <w:pStyle w:val="TableContents"/>
              <w:bidi w:val="0"/>
              <w:spacing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1,181</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45" w:type="dxa"/>
            <w:tcBorders/>
            <w:shd w:fill="CCEEFF" w:val="clear"/>
            <w:vAlign w:val="center"/>
          </w:tcPr>
          <w:p>
            <w:pPr>
              <w:pStyle w:val="TableContents"/>
              <w:bidi w:val="0"/>
              <w:spacing w:before="0" w:after="0"/>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(16,274)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105,104</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HOYNE SAVINGS, MHC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left"/>
        <w:rPr>
          <w:rFonts w:ascii="Times New Roman;Times;serif" w:hAnsi="Times New Roman;Times;serif"/>
          <w:b/>
          <w:sz w:val="20"/>
        </w:rPr>
      </w:pPr>
      <w:bookmarkStart w:id="600" w:name="Tc_ZFYyeqMzQU2oGfXtcBn7Sw_11_11"/>
      <w:bookmarkStart w:id="601" w:name="Tc_SIPdzR2sOEaN5hLDM--7dA_11_8"/>
      <w:bookmarkStart w:id="602" w:name="Tc_IGHPCmz-TUO2AO1V5KtH8Q_11_5"/>
      <w:bookmarkStart w:id="603" w:name="Tc_6RO219e9oEi5q8g2spPbrg_11_2"/>
      <w:bookmarkStart w:id="604" w:name="Tc_t_wqZfut3k2M5Saf7viofA_11_0"/>
      <w:bookmarkStart w:id="605" w:name="Tc_x8_t1ZgtykKhWKax9pL6TQ_10_6"/>
      <w:bookmarkStart w:id="606" w:name="Tc_bjJs_1cM50ON8WmAdggKjA_10_3"/>
      <w:bookmarkStart w:id="607" w:name="Tc_V3QSJ3VgpUCpgqaNUymjiw_10_0"/>
      <w:bookmarkStart w:id="608" w:name="Tc_sD1zxkPBO0yeJl-Bn-P7ag_9_6"/>
      <w:bookmarkStart w:id="609" w:name="Tc_bDwod8dnNEGL3xW6CbJmIQ_9_3"/>
      <w:bookmarkStart w:id="610" w:name="Tc_XjRD42TF4UG-5aGYD1OKDA_9_0"/>
      <w:bookmarkStart w:id="611" w:name="Tc_oLiuqvHKHEqZLQhAn7yKNQ_8_0"/>
      <w:bookmarkStart w:id="612" w:name="Tc_YDEFz21KBkO9aL8yxtI8wQ_7_11"/>
      <w:bookmarkStart w:id="613" w:name="Tc_ft3lzPshb0aTsFOwnuaEow_7_8"/>
      <w:bookmarkStart w:id="614" w:name="Tc__q0tI_z3E0OyD-0YFcTsZg_7_6"/>
      <w:bookmarkStart w:id="615" w:name="Tc_4PUexyrpCki-LP3525iV6g_7_5"/>
      <w:bookmarkStart w:id="616" w:name="Tc_fpORDsz9YEmYtCcNxgFkHQ_7_3"/>
      <w:bookmarkStart w:id="617" w:name="Tc_BYwfjpG9Gkegl4m7LQ8-_Q_7_2"/>
      <w:bookmarkStart w:id="618" w:name="Tc_84AM1__-6U6Gj95CmqmsbA_7_0"/>
      <w:bookmarkStart w:id="619" w:name="Tc_cH4i8UXGOUq3IBIhNji_Dg_6_0"/>
      <w:bookmarkStart w:id="620" w:name="Tc_96G0B6u1jkmKPKClEcEbLQ_5_11"/>
      <w:bookmarkStart w:id="621" w:name="Tc_cVThpmer206LlQIinM54VQ_5_8"/>
      <w:bookmarkStart w:id="622" w:name="Tc_9i1Uxj5rGku01VCL2EX8gQ_5_5"/>
      <w:bookmarkStart w:id="623" w:name="Tc_Lr5KeFsx1Eup-fzI68hwzw_5_2"/>
      <w:bookmarkStart w:id="624" w:name="Tc_K8W-KixYw0Ka5z7QzMWNKQ_4_8"/>
      <w:bookmarkStart w:id="625" w:name="Tc_McG_XSuNDUCFc60LOQ23oA_4_2"/>
      <w:bookmarkStart w:id="626" w:name="Tc_JqYuWL5kEUijp0cF8_YAgA_3_8"/>
      <w:bookmarkStart w:id="627" w:name="Tc_qTCvigOgEEOp2ra2S48V9A_3_2"/>
      <w:bookmarkStart w:id="628" w:name="Tc_kvMHFYwBNUakK4sppSNTWw_2_8"/>
      <w:bookmarkStart w:id="629" w:name="Tc_bS_qunOhoUqRvYj8sB9K-g_2_2"/>
      <w:bookmarkStart w:id="630" w:name="Tc_zblknORfrUux6JeUeDl5_A_1_2"/>
      <w:bookmarkStart w:id="631" w:name="_57898f2d_17a2_4705_9b98_ffb81d1db0e3"/>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r>
        <w:rPr>
          <w:rFonts w:ascii="Times New Roman;Times;serif" w:hAnsi="Times New Roman;Times;serif"/>
          <w:b/>
          <w:i w:val="false"/>
          <w:caps w:val="false"/>
          <w:smallCaps w:val="false"/>
          <w:sz w:val="20"/>
        </w:rPr>
        <w:t>4.</w:t>
      </w:r>
      <w:r>
        <w:rPr>
          <w:rFonts w:ascii="Times New Roman;Times;serif" w:hAnsi="Times New Roman;Times;serif"/>
          <w:b/>
          <w:sz w:val="20"/>
        </w:rPr>
        <w:t>Investment Securities (continued)</w:t>
      </w:r>
    </w:p>
    <w:p>
      <w:pPr>
        <w:pStyle w:val="TextBody"/>
        <w:bidi w:val="0"/>
        <w:spacing w:before="0" w:after="0"/>
        <w:ind w:left="0" w:right="0" w:hanging="0"/>
        <w:jc w:val="left"/>
        <w:rPr/>
      </w:pPr>
      <w:r>
        <w:rPr/>
        <w:t>​</w:t>
      </w:r>
    </w:p>
    <w:tbl>
      <w:tblPr>
        <w:tblW w:w="6793" w:type="dxa"/>
        <w:jc w:val="left"/>
        <w:tblInd w:w="0" w:type="dxa"/>
        <w:tblLayout w:type="fixed"/>
        <w:tblCellMar>
          <w:top w:w="0" w:type="dxa"/>
          <w:left w:w="0" w:type="dxa"/>
          <w:bottom w:w="0" w:type="dxa"/>
          <w:right w:w="0" w:type="dxa"/>
        </w:tblCellMar>
      </w:tblPr>
      <w:tblGrid>
        <w:gridCol w:w="1636"/>
        <w:gridCol w:w="326"/>
        <w:gridCol w:w="335"/>
        <w:gridCol w:w="551"/>
        <w:gridCol w:w="384"/>
        <w:gridCol w:w="249"/>
        <w:gridCol w:w="676"/>
        <w:gridCol w:w="326"/>
        <w:gridCol w:w="211"/>
        <w:gridCol w:w="676"/>
        <w:gridCol w:w="326"/>
        <w:gridCol w:w="211"/>
        <w:gridCol w:w="886"/>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038860" cy="175260"/>
                      <wp:effectExtent l="0" t="0" r="0" b="0"/>
                      <wp:wrapNone/>
                      <wp:docPr id="115" name="Frame114"/>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6" name="Frame1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2725" cy="175260"/>
                      <wp:effectExtent l="0" t="0" r="0" b="0"/>
                      <wp:wrapNone/>
                      <wp:docPr id="117" name="Frame116"/>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349885" cy="175260"/>
                      <wp:effectExtent l="0" t="0" r="0" b="0"/>
                      <wp:wrapNone/>
                      <wp:docPr id="118" name="Frame117"/>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43840" cy="175260"/>
                      <wp:effectExtent l="0" t="0" r="0" b="0"/>
                      <wp:wrapNone/>
                      <wp:docPr id="119" name="Frame118"/>
                      <a:graphic xmlns:a="http://schemas.openxmlformats.org/drawingml/2006/main">
                        <a:graphicData uri="http://schemas.microsoft.com/office/word/2010/wordprocessingShape">
                          <wps:wsp>
                            <wps:cNvSpPr txBox="1"/>
                            <wps:spPr>
                              <a:xfrm>
                                <a:off x="0" y="0"/>
                                <a:ext cx="243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58115" cy="175260"/>
                      <wp:effectExtent l="0" t="0" r="0" b="0"/>
                      <wp:wrapNone/>
                      <wp:docPr id="120" name="Frame119"/>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29260" cy="175260"/>
                      <wp:effectExtent l="0" t="0" r="0" b="0"/>
                      <wp:wrapNone/>
                      <wp:docPr id="121" name="Frame12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7010" cy="175260"/>
                      <wp:effectExtent l="0" t="0" r="0" b="0"/>
                      <wp:wrapNone/>
                      <wp:docPr id="122" name="Frame1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33985" cy="175260"/>
                      <wp:effectExtent l="0" t="0" r="0" b="0"/>
                      <wp:wrapNone/>
                      <wp:docPr id="123" name="Frame1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429260" cy="175260"/>
                      <wp:effectExtent l="0" t="0" r="0" b="0"/>
                      <wp:wrapNone/>
                      <wp:docPr id="124" name="Frame12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25" name="Frame1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33985" cy="175260"/>
                      <wp:effectExtent l="0" t="0" r="0" b="0"/>
                      <wp:wrapNone/>
                      <wp:docPr id="126" name="Frame1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562610" cy="175260"/>
                      <wp:effectExtent l="0" t="0" r="0" b="0"/>
                      <wp:wrapNone/>
                      <wp:docPr id="127" name="Frame12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83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Less Than Twelve Months</w:t>
            </w:r>
          </w:p>
        </w:tc>
        <w:tc>
          <w:tcPr>
            <w:tcW w:w="326" w:type="dxa"/>
            <w:tcBorders/>
            <w:vAlign w:val="center"/>
          </w:tcPr>
          <w:p>
            <w:pPr>
              <w:pStyle w:val="TableContents"/>
              <w:bidi w:val="0"/>
              <w:spacing w:before="0" w:after="0"/>
              <w:ind w:left="0" w:right="0" w:hanging="0"/>
              <w:jc w:val="center"/>
              <w:rPr/>
            </w:pPr>
            <w:r>
              <w:rPr/>
              <w:t>​</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Over Twelve Months</w: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84" w:type="dxa"/>
            <w:tcBorders/>
            <w:vAlign w:val="center"/>
          </w:tcPr>
          <w:p>
            <w:pPr>
              <w:pStyle w:val="TableContents"/>
              <w:bidi w:val="0"/>
              <w:spacing w:before="0" w:after="0"/>
              <w:ind w:left="0" w:right="0" w:hanging="0"/>
              <w:jc w:val="center"/>
              <w:rPr/>
            </w:pPr>
            <w:r>
              <w:rPr/>
              <w:t>​</w:t>
            </w:r>
          </w:p>
        </w:tc>
        <w:tc>
          <w:tcPr>
            <w:tcW w:w="925"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0"/>
              <w:ind w:left="0" w:right="0" w:hanging="0"/>
              <w:jc w:val="center"/>
              <w:rPr/>
            </w:pPr>
            <w:r>
              <w:rPr/>
              <w:t>​</w:t>
            </w:r>
          </w:p>
        </w:tc>
        <w:tc>
          <w:tcPr>
            <w:tcW w:w="1097" w:type="dxa"/>
            <w:gridSpan w:val="2"/>
            <w:tcBorders/>
            <w:vAlign w:val="center"/>
          </w:tcPr>
          <w:p>
            <w:pPr>
              <w:pStyle w:val="TableContents"/>
              <w:bidi w:val="0"/>
              <w:spacing w:before="0" w:after="0"/>
              <w:ind w:left="0" w:right="0" w:hanging="0"/>
              <w:jc w:val="center"/>
              <w:rPr/>
            </w:pPr>
            <w:r>
              <w:rPr/>
              <w:t>​</w: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84" w:type="dxa"/>
            <w:tcBorders/>
            <w:vAlign w:val="center"/>
          </w:tcPr>
          <w:p>
            <w:pPr>
              <w:pStyle w:val="TableContents"/>
              <w:bidi w:val="0"/>
              <w:spacing w:before="0" w:after="0"/>
              <w:ind w:left="0" w:right="0" w:hanging="0"/>
              <w:jc w:val="center"/>
              <w:rPr/>
            </w:pPr>
            <w:r>
              <w:rPr/>
              <w:t>​</w:t>
            </w:r>
          </w:p>
        </w:tc>
        <w:tc>
          <w:tcPr>
            <w:tcW w:w="925"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center"/>
              <w:rPr/>
            </w:pPr>
            <w:r>
              <w:rPr/>
              <w:t>​</w:t>
            </w:r>
          </w:p>
        </w:tc>
        <w:tc>
          <w:tcPr>
            <w:tcW w:w="1097" w:type="dxa"/>
            <w:gridSpan w:val="2"/>
            <w:tcBorders/>
            <w:vAlign w:val="center"/>
          </w:tcPr>
          <w:p>
            <w:pPr>
              <w:pStyle w:val="TableContents"/>
              <w:bidi w:val="0"/>
              <w:spacing w:before="0" w:after="0"/>
              <w:ind w:left="0" w:right="0" w:hanging="0"/>
              <w:jc w:val="center"/>
              <w:rPr/>
            </w:pPr>
            <w:r>
              <w:rPr/>
              <w:t>​</w: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84" w:type="dxa"/>
            <w:tcBorders/>
            <w:vAlign w:val="center"/>
          </w:tcPr>
          <w:p>
            <w:pPr>
              <w:pStyle w:val="TableContents"/>
              <w:bidi w:val="0"/>
              <w:spacing w:before="0" w:after="0"/>
              <w:ind w:left="0" w:right="0" w:hanging="0"/>
              <w:jc w:val="center"/>
              <w:rPr/>
            </w:pPr>
            <w:r>
              <w:rPr/>
              <w:t>    </w:t>
            </w:r>
          </w:p>
        </w:tc>
        <w:tc>
          <w:tcPr>
            <w:tcW w:w="9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0"/>
              <w:ind w:left="0" w:right="0" w:hanging="0"/>
              <w:jc w:val="center"/>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right"/>
              <w:rPr/>
            </w:pPr>
            <w:r>
              <w:rPr/>
              <w:t>​</w:t>
            </w:r>
          </w:p>
        </w:tc>
        <w:tc>
          <w:tcPr>
            <w:tcW w:w="384"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Agencies</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vAlign w:val="center"/>
          </w:tcPr>
          <w:p>
            <w:pPr>
              <w:pStyle w:val="TableContents"/>
              <w:bidi w:val="0"/>
              <w:spacing w:before="0" w:after="0"/>
              <w:ind w:left="0" w:right="0" w:hanging="0"/>
              <w:jc w:val="right"/>
              <w:rPr/>
            </w:pPr>
            <w:r>
              <w:rPr/>
              <w:t>—</w:t>
            </w:r>
          </w:p>
        </w:tc>
        <w:tc>
          <w:tcPr>
            <w:tcW w:w="384"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9,639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35,841</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Mortgage-backed</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335"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55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24</w:t>
            </w:r>
          </w:p>
        </w:tc>
        <w:tc>
          <w:tcPr>
            <w:tcW w:w="384"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49"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1,727</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12,549</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71,084</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Municipal bonds</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335" w:type="dxa"/>
            <w:tcBorders/>
            <w:vAlign w:val="center"/>
          </w:tcPr>
          <w:p>
            <w:pPr>
              <w:pStyle w:val="TableContents"/>
              <w:bidi w:val="0"/>
              <w:spacing w:before="0" w:after="0"/>
              <w:ind w:left="0" w:right="0" w:hanging="0"/>
              <w:jc w:val="left"/>
              <w:rPr>
                <w:color w:val="231F20"/>
              </w:rPr>
            </w:pPr>
            <w:r>
              <w:rPr>
                <w:color w:val="231F20"/>
              </w:rPr>
              <w:t> </w:t>
            </w:r>
          </w:p>
        </w:tc>
        <w:tc>
          <w:tcPr>
            <w:tcW w:w="551" w:type="dxa"/>
            <w:tcBorders/>
            <w:vAlign w:val="center"/>
          </w:tcPr>
          <w:p>
            <w:pPr>
              <w:pStyle w:val="TableContents"/>
              <w:bidi w:val="0"/>
              <w:spacing w:before="0" w:after="0"/>
              <w:ind w:left="0" w:right="0" w:hanging="0"/>
              <w:jc w:val="right"/>
              <w:rPr>
                <w:color w:val="231F20"/>
              </w:rPr>
            </w:pPr>
            <w:r>
              <w:rPr>
                <w:color w:val="231F20"/>
              </w:rPr>
              <w:t>—</w:t>
            </w:r>
          </w:p>
        </w:tc>
        <w:tc>
          <w:tcPr>
            <w:tcW w:w="384" w:type="dxa"/>
            <w:tcBorders/>
            <w:vAlign w:val="center"/>
          </w:tcPr>
          <w:p>
            <w:pPr>
              <w:pStyle w:val="TableContents"/>
              <w:bidi w:val="0"/>
              <w:spacing w:before="0" w:after="0"/>
              <w:ind w:left="0" w:right="0" w:hanging="0"/>
              <w:jc w:val="left"/>
              <w:rPr>
                <w:color w:val="231F20"/>
              </w:rPr>
            </w:pPr>
            <w:r>
              <w:rPr>
                <w:color w:val="231F20"/>
              </w:rPr>
              <w:t>​</w:t>
            </w:r>
          </w:p>
        </w:tc>
        <w:tc>
          <w:tcPr>
            <w:tcW w:w="249" w:type="dxa"/>
            <w:tcBorders/>
            <w:vAlign w:val="center"/>
          </w:tcPr>
          <w:p>
            <w:pPr>
              <w:pStyle w:val="TableContents"/>
              <w:bidi w:val="0"/>
              <w:spacing w:before="0" w:after="0"/>
              <w:ind w:left="0" w:right="0" w:hanging="0"/>
              <w:jc w:val="left"/>
              <w:rPr>
                <w:color w:val="231F20"/>
              </w:rPr>
            </w:pPr>
            <w:r>
              <w:rPr>
                <w:color w:val="231F20"/>
              </w:rPr>
              <w:t> </w:t>
            </w:r>
          </w:p>
        </w:tc>
        <w:tc>
          <w:tcPr>
            <w:tcW w:w="676" w:type="dxa"/>
            <w:tcBorders/>
            <w:vAlign w:val="center"/>
          </w:tcPr>
          <w:p>
            <w:pPr>
              <w:pStyle w:val="TableContents"/>
              <w:bidi w:val="0"/>
              <w:spacing w:before="0" w:after="0"/>
              <w:ind w:left="0" w:right="0" w:hanging="0"/>
              <w:jc w:val="right"/>
              <w:rPr>
                <w:color w:val="231F20"/>
              </w:rPr>
            </w:pPr>
            <w:r>
              <w:rPr>
                <w:color w:val="231F20"/>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1,131</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Treasuries</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84"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1,990</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84"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22,240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110,046</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At September 30, 2025, 23 agencies securities are in an unrealized loss position with aggregate depreciation of 16.02% from the Bank’s amortized cost basis, 175 mortgage-backed securities are in an unrealized loss position with aggregate depreciation of 12.01% from the Bank’s amortized cost basis and four municipal bond securities are in an unrealized loss position with aggregate depreciation of 1.69% from the Bank’s amortized cost basis. These unrealized losses relate principally to the changes in interest rates and are not due to changes in the financial condition of the issuer, the quality of any underlying assets, or applicable credit enhancements. In reaching the conclusion that an allowance for credit losses is unnecessary, management observed that the securities were issued by a government body or agency, the securities continue to be highly rated (AA or better) where applicable, the issuer continues to make contractual payments, and the quality of any underlying assets or credit enhancements has not changed. Since management has the ability to hold debt securities for the foreseeable future, the Bank expects to recover the amortized cost basis of these securities before they are sold or mature.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Bank regularly evaluates various attributes of securities held to maturity to determine the appropriateness of the allowance for credit losses. The credit quality indicators monitored differ depending on the major security type.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Bank evaluates the credit quality of securities issued by the U.S. government (e.g., U.S. Treasury bonds) and U.S. government-sponsored agencies (e.g., Federal National Mortgage Association and Federal Home Loan Mortgage Corporation mortgage-backed securities) by considering the creditworthiness and performance of the securities and the strength of guarantees. These securities are either explicitly or implicitly guaranteed by the U.S. government, are highly rated by major rating agencies, and have a long history of no credit losses. Based on this analysis, the Bank believes it will collect all amounts owed on these securities and has not recognized an allowance for credit losses on these securities.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securities held to maturity are generally evaluated using credit ratings, which are a key indicator of a debt security’s probability of default. The Bank uses credit ratings issued by S&amp;P or Moody’s (or both). These ratings are updated monthly. The Bank may also consider other relevant information that becomes known about the issuer’s or the security’s performance.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 accrued interest was written off during the nine months ended September 30, 2025 or 2024. No securities held to maturity were past due or on nonaccrual as of September 30, 2025 and December 31, 2024.</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HOYNE SAVINGS, MHC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00"/>
        <w:ind w:left="0" w:right="0" w:hanging="0"/>
        <w:jc w:val="left"/>
        <w:rPr>
          <w:rFonts w:ascii="Times New Roman;Times;serif" w:hAnsi="Times New Roman;Times;serif"/>
          <w:b/>
          <w:sz w:val="20"/>
        </w:rPr>
      </w:pPr>
      <w:bookmarkStart w:id="632" w:name="Tc_Z6nZOvsNC0eDy74TJ-1JDQ_28_13"/>
      <w:bookmarkStart w:id="633" w:name="Tc_zsKB-vkx4EWLq0Hg_oWdKQ_28_0"/>
      <w:bookmarkStart w:id="634" w:name="Tc_-BVwj03fNUS4ly-lPSL43A_27_23"/>
      <w:bookmarkStart w:id="635" w:name="Tc_nA3vGKxXAUyZrFQTpROV1A_27_20"/>
      <w:bookmarkStart w:id="636" w:name="Tc_2LU-qccukka6A1z2bdMOlA_27_18"/>
      <w:bookmarkStart w:id="637" w:name="Tc_pQhpoc7xZka_LAcBodxYNQ_27_15"/>
      <w:bookmarkStart w:id="638" w:name="Tc_55nyE_Sj5kew4fuOBTKfCA_27_13"/>
      <w:bookmarkStart w:id="639" w:name="Tc_GN_rZoMPvEaZfklNwqg8vQ_27_10"/>
      <w:bookmarkStart w:id="640" w:name="Tc_9swT2aiWc0uTbyEKZ0ytgQ_27_8"/>
      <w:bookmarkStart w:id="641" w:name="Tc_WeyHT37vSEqootfvWSLMNg_27_5"/>
      <w:bookmarkStart w:id="642" w:name="Tc_vxSbBiUcv0-cmlQIkA6Ylg_27_0"/>
      <w:bookmarkStart w:id="643" w:name="Tc_NHqgSA8FSEyGxJ5SRiO-sQ_26_26"/>
      <w:bookmarkStart w:id="644" w:name="Tc_lvjXFWxsvEmpPC3DnNOQng_26_23"/>
      <w:bookmarkStart w:id="645" w:name="Tc_-4C7sB85NUyeh17fgIobHw_26_20"/>
      <w:bookmarkStart w:id="646" w:name="Tc_0CQNNmmD_k6EE4HxlvnTNw_26_18"/>
      <w:bookmarkStart w:id="647" w:name="Tc_Cx_mp1fjo0OUNmnI32HrVA_26_15"/>
      <w:bookmarkStart w:id="648" w:name="Tc_TmWhrCOQ_kCwmTzG4POx7g_26_13"/>
      <w:bookmarkStart w:id="649" w:name="Tc_oKlShYZpXEK0RlIhUjL8Vw_26_10"/>
      <w:bookmarkStart w:id="650" w:name="Tc_2JjIBOtS-EuO8uTJ_cZzbg_26_8"/>
      <w:bookmarkStart w:id="651" w:name="Tc_ZEfFSRYg70eiD8fn0sY9CA_26_5"/>
      <w:bookmarkStart w:id="652" w:name="Tc_4s10d2SzXE2GYpdH_zy7GQ_26_3"/>
      <w:bookmarkStart w:id="653" w:name="Tc_94WrXfuO-UGkT-gy7CNzYw_26_0"/>
      <w:bookmarkStart w:id="654" w:name="Tc_bukXa1dhgEGW_MMpIs56aA_25_13"/>
      <w:bookmarkStart w:id="655" w:name="Tc_GetB58arhkOfaHcrCr0q4A_25_8"/>
      <w:bookmarkStart w:id="656" w:name="Tc_CBK6oNLN1kaGUFtsc-zHCA_25_0"/>
      <w:bookmarkStart w:id="657" w:name="Tc_lJFzKaY1p0iUFQ-kYIPiCQ_24_13"/>
      <w:bookmarkStart w:id="658" w:name="Tc_hZEkyl18fEOfHnslLmG0tw_24_0"/>
      <w:bookmarkStart w:id="659" w:name="Tc_TkrmztiuoUWMX70r57zn8Q_23_23"/>
      <w:bookmarkStart w:id="660" w:name="Tc_yAmjvOEVske8YVPF-6A_mw_23_0"/>
      <w:bookmarkStart w:id="661" w:name="Tc_aaUq7lDjLkOW6a1eMMrRfg_22_26"/>
      <w:bookmarkStart w:id="662" w:name="Tc_yP12Hwori023kL4qoMJK7A_22_23"/>
      <w:bookmarkStart w:id="663" w:name="Tc_TautO4jjh0OzvlPTE3k9SA_22_20"/>
      <w:bookmarkStart w:id="664" w:name="Tc_fHcCoDhgOkGnIbDrmiMR_A_22_18"/>
      <w:bookmarkStart w:id="665" w:name="Tc_1U-GxY-pE0SSG6ENbvQ2pQ_22_15"/>
      <w:bookmarkStart w:id="666" w:name="Tc_A7tpZwE_2EGNAFbVmqfJXg_22_13"/>
      <w:bookmarkStart w:id="667" w:name="Tc_EYoNm82LbkKtygXtzTq5LA_22_10"/>
      <w:bookmarkStart w:id="668" w:name="Tc_mnjS0V7fkEuwIfg0BVT0bw_22_8"/>
      <w:bookmarkStart w:id="669" w:name="Tc_XgsWCSKa-UGIdq58_e1Q9g_22_5"/>
      <w:bookmarkStart w:id="670" w:name="Tc_WcF6HG8me0uno_iwCqsgdw_22_3"/>
      <w:bookmarkStart w:id="671" w:name="Tc_TlFiSQA34E-OaNslmb_VVg_22_0"/>
      <w:bookmarkStart w:id="672" w:name="Tc_stA-0LLAWUinRFNopPTfFQ_21_26"/>
      <w:bookmarkStart w:id="673" w:name="Tc_aIh40WCFfUKvOcDcPuyYrA_21_23"/>
      <w:bookmarkStart w:id="674" w:name="Tc_szV4crVdAESSNKjZjhm6zg_21_20"/>
      <w:bookmarkStart w:id="675" w:name="Tc_MZlU9i_uyUSmK4mEJJKVEw_21_18"/>
      <w:bookmarkStart w:id="676" w:name="Tc_EAoQa5V3g0qSzgAuB-Uimw_21_15"/>
      <w:bookmarkStart w:id="677" w:name="Tc_6uaq-BLpJEOZbt1kbW5HTg_21_13"/>
      <w:bookmarkStart w:id="678" w:name="Tc_1EB5fegq0keh-s72n-D87g_21_10"/>
      <w:bookmarkStart w:id="679" w:name="Tc_anIhjXtE50anaXKyewh5dQ_21_8"/>
      <w:bookmarkStart w:id="680" w:name="Tc_lgE4Y4o4CkmbqRmm-VMDMg_21_5"/>
      <w:bookmarkStart w:id="681" w:name="Tc_V4_chVBOoUSpkVOuaj1hvA_21_3"/>
      <w:bookmarkStart w:id="682" w:name="Tc_F1yrqc_xXEO8eo672fAt-g_21_0"/>
      <w:bookmarkStart w:id="683" w:name="Tc_4ljyuZm1r065XVcbORlSQA_20_23"/>
      <w:bookmarkStart w:id="684" w:name="Tc_09EKWGLv20-FV5KutGG5PQ_20_13"/>
      <w:bookmarkStart w:id="685" w:name="Tc_yfQ-ZslPjUeIcpbIJ3Yo3Q_20_0"/>
      <w:bookmarkStart w:id="686" w:name="Tc_HiWt8VJSnUWeCCH6XdYJaw_19_25"/>
      <w:bookmarkStart w:id="687" w:name="Tc_ZLIo6O9PPkGnvV6FpIXSxw_19_23"/>
      <w:bookmarkStart w:id="688" w:name="Tc_nPcX26V_xUC0oKuIiK4aqQ_19_22"/>
      <w:bookmarkStart w:id="689" w:name="Tc_Q8p-ECLYtEOdYsvhyyfQqA_19_17"/>
      <w:bookmarkStart w:id="690" w:name="Tc_hNa_Ko-sDkKnaSPP_TRvtw_19_12"/>
      <w:bookmarkStart w:id="691" w:name="Tc_Kef4oGVWBEOdWYS1XMgexA_19_7"/>
      <w:bookmarkStart w:id="692" w:name="Tc_KQuAYO0pBEKPLUdD1uHMCQ_19_2"/>
      <w:bookmarkStart w:id="693" w:name="Tc_pAOUOX1B8E6Y8bpjZm3djQ_19_0"/>
      <w:bookmarkStart w:id="694" w:name="Tc_enYsIQkiL02bolW3M_M4ig_18_0"/>
      <w:bookmarkStart w:id="695" w:name="Tc_rIICisWUD0i56rWHGoTDCQ_16_13"/>
      <w:bookmarkStart w:id="696" w:name="Tc_Vg99eFsDuEyDonaqbu73JQ_16_0"/>
      <w:bookmarkStart w:id="697" w:name="Tc_tAeEP8HW4k-ZCGi0u6PQ8g_15_26"/>
      <w:bookmarkStart w:id="698" w:name="Tc_wr2MWHnpWU2anNNFj-2LPw_15_23"/>
      <w:bookmarkStart w:id="699" w:name="Tc_S33ND8KRuEi_mnizWxUqeg_15_20"/>
      <w:bookmarkStart w:id="700" w:name="Tc_s6G9yz6X40eBJmPPKKPjow_15_18"/>
      <w:bookmarkStart w:id="701" w:name="Tc_OrG4iEVP4k-J4XvOGid5Jg_15_15"/>
      <w:bookmarkStart w:id="702" w:name="Tc_xzpQ-oI8fEyJ6L3wOixaDQ_15_13"/>
      <w:bookmarkStart w:id="703" w:name="Tc_LzC7NQqzrkeg4tVUbu6ODg_15_10"/>
      <w:bookmarkStart w:id="704" w:name="Tc_Ww-TwtI7QUeiM4XfP4VN8w_15_8"/>
      <w:bookmarkStart w:id="705" w:name="Tc_BIdrZ-Dg_E2o8xl9UsiuEg_15_5"/>
      <w:bookmarkStart w:id="706" w:name="Tc_a-llZdRn10i3041Iwg2ebw_15_3"/>
      <w:bookmarkStart w:id="707" w:name="Tc_woI3Eq9XwUiJ-45cb-hXAQ_15_0"/>
      <w:bookmarkStart w:id="708" w:name="Tc_Szk8TUhK3Uqf3GGKW799Fw_14_26"/>
      <w:bookmarkStart w:id="709" w:name="Tc_kJZD2YowKkmed4k6wdA12A_14_23"/>
      <w:bookmarkStart w:id="710" w:name="Tc_H-RWx25Pj0ypznNqCbdYOQ_14_20"/>
      <w:bookmarkStart w:id="711" w:name="Tc_hG8gmOfdnUGJzWYgu0Yaew_14_18"/>
      <w:bookmarkStart w:id="712" w:name="Tc_SJj8KeYfrUGdm5w8gHuWAg_14_15"/>
      <w:bookmarkStart w:id="713" w:name="Tc_-_ctXmxUN0WZiQBracIe6g_14_13"/>
      <w:bookmarkStart w:id="714" w:name="Tc_D8iqyUENqkeYgGAWfAyI2A_14_10"/>
      <w:bookmarkStart w:id="715" w:name="Tc_s3AZcQVmHkSrC95pSeYk_Q_14_8"/>
      <w:bookmarkStart w:id="716" w:name="Tc_yqHYE-GpD0Ockdrhg5b92g_14_5"/>
      <w:bookmarkStart w:id="717" w:name="Tc_QR2igNxmc0WKlkjokRuWUA_14_3"/>
      <w:bookmarkStart w:id="718" w:name="Tc_gInUWHBPPUOLJXX0angBEw_14_0"/>
      <w:bookmarkStart w:id="719" w:name="Tc_uTAMrtkhMkOq4q5FicquiA_13_13"/>
      <w:bookmarkStart w:id="720" w:name="Tc_ei_PTIsTUE6CGuguGEjaaQ_13_10"/>
      <w:bookmarkStart w:id="721" w:name="Tc_GdOh4Kr_a0a0NN12WRRQVQ_13_8"/>
      <w:bookmarkStart w:id="722" w:name="Tc_Q0jxMXXc2kGvayF8_jnDIw_13_3"/>
      <w:bookmarkStart w:id="723" w:name="Tc_VQzHu_C6lkKsT6nV9uIgBA_13_0"/>
      <w:bookmarkStart w:id="724" w:name="Tc_x8iry9er0UaZL7TLRXjrBg_12_13"/>
      <w:bookmarkStart w:id="725" w:name="Tc_gbtsXWBqS06_2QSMUXvAyw_12_0"/>
      <w:bookmarkStart w:id="726" w:name="Tc_G4M9vbHI3UWsnFyUcCtx5A_11_23"/>
      <w:bookmarkStart w:id="727" w:name="Tc_HqilgnA5zUO0PrN7c51Fcg_11_0"/>
      <w:bookmarkStart w:id="728" w:name="Tc_6SKupRCNGEO78smzyxceHg_10_26"/>
      <w:bookmarkStart w:id="729" w:name="Tc_ljMezKLGiUWBdDyoY-pEnw_10_23"/>
      <w:bookmarkStart w:id="730" w:name="Tc_cdN_FxuMkkaJ-nNDu4sJbg_10_20"/>
      <w:bookmarkStart w:id="731" w:name="Tc_F0j3J_34mkOrMb5hsU5lJA_10_18"/>
      <w:bookmarkStart w:id="732" w:name="Tc_99S46oWXIUmP_8WF6kF2Gw_10_15"/>
      <w:bookmarkStart w:id="733" w:name="Tc_5jQ5o2-QUkGiieADZvMWQA_10_13"/>
      <w:bookmarkStart w:id="734" w:name="Tc_phoB9WHpjkO77_N24T3x-g_10_10"/>
      <w:bookmarkStart w:id="735" w:name="Tc_hGfiOT5dbEucLIpaaUOMsQ_10_8"/>
      <w:bookmarkStart w:id="736" w:name="Tc_a1xyad3D0EC1SPENAvrFtQ_10_5"/>
      <w:bookmarkStart w:id="737" w:name="Tc_dteOtvqZgU-rRAvGFcQsWg_10_3"/>
      <w:bookmarkStart w:id="738" w:name="Tc_c4gZubXCjkWkkQmCRdM5vw_10_0"/>
      <w:bookmarkStart w:id="739" w:name="Tc_esMv2rVFNk2px3E2lzGPTg_9_26"/>
      <w:bookmarkStart w:id="740" w:name="Tc_6Q6MtptEfkGXT_LrEYRM4w_9_23"/>
      <w:bookmarkStart w:id="741" w:name="Tc_KuCWPRznA0SN-MUMYdGtzw_9_20"/>
      <w:bookmarkStart w:id="742" w:name="Tc_8VEoiIU8wUirW0tZBEDfjw_9_18"/>
      <w:bookmarkStart w:id="743" w:name="Tc_dNB4lEyt502WwiGSJMKHFw_9_15"/>
      <w:bookmarkStart w:id="744" w:name="Tc_NmWlwDBjUE-m7BFeHygaPA_9_13"/>
      <w:bookmarkStart w:id="745" w:name="Tc_oVf-HJeQtk2bOYCcrQgWjg_9_10"/>
      <w:bookmarkStart w:id="746" w:name="Tc_cbjPeevTk0a1dLMx0PKeuQ_9_8"/>
      <w:bookmarkStart w:id="747" w:name="Tc_INu0mLyyfk-cqH1Ld_5F_Q_9_5"/>
      <w:bookmarkStart w:id="748" w:name="Tc_HE6DxgnEZEOjoKsrFG-i6w_9_3"/>
      <w:bookmarkStart w:id="749" w:name="Tc_7h4y51DqsUK0sR4ZwpyC8w_9_0"/>
      <w:bookmarkStart w:id="750" w:name="Tc_EDwgcnxBUUGuYGpLX46O1A_8_0"/>
      <w:bookmarkStart w:id="751" w:name="Tc_BHP_jg1FFECZrXKwMCBvmQ_7_25"/>
      <w:bookmarkStart w:id="752" w:name="Tc_N296X5KliUmz4YrrMZWtqA_7_22"/>
      <w:bookmarkStart w:id="753" w:name="Tc_ctLG22_V7Um1LKPdfxEFXA_7_17"/>
      <w:bookmarkStart w:id="754" w:name="Tc_c1yaQ6ffyUOpUeEVDPB_Iw_7_13"/>
      <w:bookmarkStart w:id="755" w:name="Tc_5Fw3XtqWk0O4lOIPpB0uyw_7_12"/>
      <w:bookmarkStart w:id="756" w:name="Tc_enAq6tw2FE-wgvTJBSHhWg_7_7"/>
      <w:bookmarkStart w:id="757" w:name="Tc_vK20pnkQWUGwJh_EGINdjA_7_2"/>
      <w:bookmarkStart w:id="758" w:name="Tc_tg48vqb8IEiXtHMEnNraYA_7_0"/>
      <w:bookmarkStart w:id="759" w:name="Tc_BT7adAz4ZUKZNZAN2GxXnw_6_0"/>
      <w:bookmarkStart w:id="760" w:name="Tc_rKavpGOTYk6iA1PVUxICcw_5_0"/>
      <w:bookmarkStart w:id="761" w:name="Tc_6JKeyfG7aU-GxJzmVJ5ogw_4_25"/>
      <w:bookmarkStart w:id="762" w:name="Tc_exWCk1KY6EODeRtfc77CGg_4_22"/>
      <w:bookmarkStart w:id="763" w:name="Tc_i-jwnCjg60CyL8IwpeTYcw_4_20"/>
      <w:bookmarkStart w:id="764" w:name="Tc_g0YGNgmDkkSqPI5_NB_b4A_4_17"/>
      <w:bookmarkStart w:id="765" w:name="Tc_7_1dYNzscU655M_2suhTbg_4_15"/>
      <w:bookmarkStart w:id="766" w:name="Tc_fZPVN34fcEyN2xRhj0ZNWA_4_12"/>
      <w:bookmarkStart w:id="767" w:name="Tc_SVjN3VupLEeFjp08W6Ki9g_4_10"/>
      <w:bookmarkStart w:id="768" w:name="Tc_0qirEXyFk0K3Gdxbu7iRfw_4_7"/>
      <w:bookmarkStart w:id="769" w:name="Tc_nNko2PhiOkGX5fAKd5OvPg_4_5"/>
      <w:bookmarkStart w:id="770" w:name="Tc_1uhWDTJx_Ua3WDCLmihRAg_4_2"/>
      <w:bookmarkStart w:id="771" w:name="Tc_Y1M6R50_T0qzThZjIcfukA_3_20"/>
      <w:bookmarkStart w:id="772" w:name="Tc_nfHLyJzT_Eai8ktusmkH3w_3_17"/>
      <w:bookmarkStart w:id="773" w:name="Tc_imZCZb6o1EyNxLk5qTDqig_3_15"/>
      <w:bookmarkStart w:id="774" w:name="Tc_hA-oCRb290Ko11cEiwCmxw_3_12"/>
      <w:bookmarkStart w:id="775" w:name="Tc_YSlCcxkQrkSsvk9WYe37yg_3_7"/>
      <w:bookmarkStart w:id="776" w:name="Tc_-_6LpukVB0CwIpoqs2yPfA_3_5"/>
      <w:bookmarkStart w:id="777" w:name="Tc_50lEzzGgOUagi3NgPp2EEg_3_2"/>
      <w:bookmarkStart w:id="778" w:name="Tc_PdAgoGo4PEycv1pqZhBrKg_2_20"/>
      <w:bookmarkStart w:id="779" w:name="Tc_0QaUjM04Uk2ClE87V0SJtw_2_17"/>
      <w:bookmarkStart w:id="780" w:name="Tc_sADnJNzViUmg-vncrJ0uCg_2_12"/>
      <w:bookmarkStart w:id="781" w:name="Tc_Ipd_VcinV0W6mcNKNJoeaw_2_7"/>
      <w:bookmarkStart w:id="782" w:name="Tc_qZfjROHW7k2j1Oau0Ka8kg_2_5"/>
      <w:bookmarkStart w:id="783" w:name="Tc_5yc1Yj1tLUiTpAdbYPbUoA_1_7"/>
      <w:bookmarkStart w:id="784" w:name="_4568d78d_5a2a_42ca_a409_6f2ad3211e01"/>
      <w:bookmarkStart w:id="785" w:name="Tc_ZNTotGyjiUCveLUMvqE-tw_17_5"/>
      <w:bookmarkStart w:id="786" w:name="Tc_-SrbozIRlkOtQXAK5E0jmQ_17_2"/>
      <w:bookmarkStart w:id="787" w:name="Tc_wDxuY1amhk6aLPmeXUlXQA_16_0"/>
      <w:bookmarkStart w:id="788" w:name="Tc_Jh50Z-VzOEGV06qCel6-8Q_15_0"/>
      <w:bookmarkStart w:id="789" w:name="Tc_97wnVxVDZUO6GVvnsnPvgg_14_0"/>
      <w:bookmarkStart w:id="790" w:name="Tc_e7mAgeNFeUGUBqIw9fYe8g_13_0"/>
      <w:bookmarkStart w:id="791" w:name="Tc_ZuL0sSuTqEqbcw7hbPjVhg_12_0"/>
      <w:bookmarkStart w:id="792" w:name="Tc_ruf7oCukIUiHSfH86OooRg_11_0"/>
      <w:bookmarkStart w:id="793" w:name="Tc_IV0L5sucDkKzb_42yzGhOA_10_0"/>
      <w:bookmarkStart w:id="794" w:name="Tc_IiuggVAloE-n2y9nYHuMbA_9_0"/>
      <w:bookmarkStart w:id="795" w:name="Tc_iv8ePNFSWkqqMRUemu8jsw_8_0"/>
      <w:bookmarkStart w:id="796" w:name="Tc_dadEO3dE1UeJsx1MhHKheA_7_0"/>
      <w:bookmarkStart w:id="797" w:name="Tc_h_eRfg_GiU--086uKe7ydw_6_0"/>
      <w:bookmarkStart w:id="798" w:name="Tc_mZgzwn3d0Uu4oqXXT3y3Ew_5_0"/>
      <w:bookmarkStart w:id="799" w:name="Tc_C-GHEdGF7kmozTEaC-4hQw_4_0"/>
      <w:bookmarkStart w:id="800" w:name="Tc_vKffdQd37kKsJlUVcO2hpA_3_0"/>
      <w:bookmarkStart w:id="801" w:name="Tc_l412wZJ0nU-e8zJCfHo60Q_2_5"/>
      <w:bookmarkStart w:id="802" w:name="Tc_25zQZsmNkkatQdYIbJVyYQ_2_2"/>
      <w:bookmarkStart w:id="803" w:name="Tc_ltvbeFC3-kKQOCian90EKg_2_0"/>
      <w:bookmarkStart w:id="804" w:name="Tc_FevAKk4GvUKrhEyeze07fw_1_5"/>
      <w:bookmarkStart w:id="805" w:name="Tc__mZ1Zhp5rk-7V8jtV5mB7A_1_2"/>
      <w:bookmarkStart w:id="806" w:name="_e0f2c088_8f2c_472a_aa45_95c7617757b2"/>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r>
        <w:rPr>
          <w:rFonts w:ascii="Times New Roman;Times;serif" w:hAnsi="Times New Roman;Times;serif"/>
          <w:b/>
          <w:i w:val="false"/>
          <w:caps w:val="false"/>
          <w:smallCaps w:val="false"/>
          <w:sz w:val="20"/>
        </w:rPr>
        <w:t>5.</w:t>
      </w:r>
      <w:r>
        <w:rPr>
          <w:rFonts w:ascii="Times New Roman;Times;serif" w:hAnsi="Times New Roman;Times;serif"/>
          <w:b/>
          <w:sz w:val="20"/>
        </w:rPr>
        <w:t>Loans Receivable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Loans receivable consist of the following (in thousands):</w:t>
      </w:r>
    </w:p>
    <w:tbl>
      <w:tblPr>
        <w:tblW w:w="6805" w:type="dxa"/>
        <w:jc w:val="left"/>
        <w:tblInd w:w="0" w:type="dxa"/>
        <w:tblLayout w:type="fixed"/>
        <w:tblCellMar>
          <w:top w:w="0" w:type="dxa"/>
          <w:left w:w="0" w:type="dxa"/>
          <w:bottom w:w="0" w:type="dxa"/>
          <w:right w:w="0" w:type="dxa"/>
        </w:tblCellMar>
      </w:tblPr>
      <w:tblGrid>
        <w:gridCol w:w="3061"/>
        <w:gridCol w:w="326"/>
        <w:gridCol w:w="328"/>
        <w:gridCol w:w="1218"/>
        <w:gridCol w:w="326"/>
        <w:gridCol w:w="297"/>
        <w:gridCol w:w="1249"/>
      </w:tblGrid>
      <w:tr>
        <w:trPr/>
        <w:tc>
          <w:tcPr>
            <w:tcW w:w="3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943735" cy="175260"/>
                      <wp:effectExtent l="0" t="0" r="0" b="0"/>
                      <wp:wrapNone/>
                      <wp:docPr id="128" name="Frame127"/>
                      <a:graphic xmlns:a="http://schemas.openxmlformats.org/drawingml/2006/main">
                        <a:graphicData uri="http://schemas.microsoft.com/office/word/2010/wordprocessingShape">
                          <wps:wsp>
                            <wps:cNvSpPr txBox="1"/>
                            <wps:spPr>
                              <a:xfrm>
                                <a:off x="0" y="0"/>
                                <a:ext cx="1943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9" name="Frame1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8280" cy="175260"/>
                      <wp:effectExtent l="0" t="0" r="0" b="0"/>
                      <wp:wrapNone/>
                      <wp:docPr id="130" name="Frame129"/>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773430" cy="175260"/>
                      <wp:effectExtent l="0" t="0" r="0" b="0"/>
                      <wp:wrapNone/>
                      <wp:docPr id="131" name="Frame130"/>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2" name="Frame1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88595" cy="175260"/>
                      <wp:effectExtent l="0" t="0" r="0" b="0"/>
                      <wp:wrapNone/>
                      <wp:docPr id="133" name="Frame132"/>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793115" cy="175260"/>
                      <wp:effectExtent l="0" t="0" r="0" b="0"/>
                      <wp:wrapNone/>
                      <wp:docPr id="134" name="Frame133"/>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color w:val="231F20"/>
              </w:rPr>
            </w:pPr>
            <w:r>
              <w:rPr>
                <w:color w:val="231F20"/>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September 30, 2025</w:t>
            </w:r>
          </w:p>
        </w:tc>
        <w:tc>
          <w:tcPr>
            <w:tcW w:w="326" w:type="dxa"/>
            <w:tcBorders/>
            <w:vAlign w:val="center"/>
          </w:tcPr>
          <w:p>
            <w:pPr>
              <w:pStyle w:val="TableContents"/>
              <w:bidi w:val="0"/>
              <w:spacing w:before="0" w:after="0"/>
              <w:ind w:left="0" w:right="0" w:hanging="0"/>
              <w:jc w:val="center"/>
              <w:rPr>
                <w:color w:val="231F20"/>
              </w:rPr>
            </w:pPr>
            <w:r>
              <w:rPr>
                <w:color w:val="231F20"/>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December 31, 2024</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First mortgage</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328" w:type="dxa"/>
            <w:tcBorders/>
            <w:shd w:fill="CCEEFF" w:val="clear"/>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112,844</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125,345</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Purchased and participations</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328" w:type="dxa"/>
            <w:tcBorders/>
            <w:vAlign w:val="center"/>
          </w:tcPr>
          <w:p>
            <w:pPr>
              <w:pStyle w:val="TableContents"/>
              <w:bidi w:val="0"/>
              <w:spacing w:before="0" w:after="0"/>
              <w:ind w:left="0" w:right="0" w:hanging="0"/>
              <w:jc w:val="left"/>
              <w:rPr>
                <w:color w:val="231F20"/>
              </w:rPr>
            </w:pPr>
            <w:r>
              <w:rPr>
                <w:color w:val="231F20"/>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6,112</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97" w:type="dxa"/>
            <w:tcBorders/>
            <w:vAlign w:val="center"/>
          </w:tcPr>
          <w:p>
            <w:pPr>
              <w:pStyle w:val="TableContents"/>
              <w:bidi w:val="0"/>
              <w:spacing w:before="0" w:after="0"/>
              <w:ind w:left="0" w:right="0" w:hanging="0"/>
              <w:jc w:val="left"/>
              <w:rPr>
                <w:color w:val="231F20"/>
              </w:rPr>
            </w:pPr>
            <w:r>
              <w:rPr>
                <w:color w:val="231F20"/>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8,712</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Home improvement, first mortgage</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328"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174</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97"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195</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Home equity line of credit (HELOC)</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328" w:type="dxa"/>
            <w:tcBorders/>
            <w:vAlign w:val="center"/>
          </w:tcPr>
          <w:p>
            <w:pPr>
              <w:pStyle w:val="TableContents"/>
              <w:bidi w:val="0"/>
              <w:spacing w:before="0" w:after="0"/>
              <w:ind w:left="0" w:right="0" w:hanging="0"/>
              <w:jc w:val="left"/>
              <w:rPr>
                <w:color w:val="231F20"/>
              </w:rPr>
            </w:pPr>
            <w:r>
              <w:rPr>
                <w:color w:val="231F20"/>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5,027</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97" w:type="dxa"/>
            <w:tcBorders/>
            <w:vAlign w:val="center"/>
          </w:tcPr>
          <w:p>
            <w:pPr>
              <w:pStyle w:val="TableContents"/>
              <w:bidi w:val="0"/>
              <w:spacing w:before="0" w:after="0"/>
              <w:ind w:left="0" w:right="0" w:hanging="0"/>
              <w:jc w:val="left"/>
              <w:rPr>
                <w:color w:val="231F20"/>
              </w:rPr>
            </w:pPr>
            <w:r>
              <w:rPr>
                <w:color w:val="231F20"/>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6,050</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Commercial, construction</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328"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43,273</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97"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22,759</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Commercial and Industrial</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328" w:type="dxa"/>
            <w:tcBorders/>
            <w:vAlign w:val="center"/>
          </w:tcPr>
          <w:p>
            <w:pPr>
              <w:pStyle w:val="TableContents"/>
              <w:bidi w:val="0"/>
              <w:spacing w:before="0" w:after="0"/>
              <w:ind w:left="0" w:right="0" w:hanging="0"/>
              <w:jc w:val="left"/>
              <w:rPr>
                <w:color w:val="231F20"/>
              </w:rPr>
            </w:pPr>
            <w:r>
              <w:rPr>
                <w:color w:val="231F20"/>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15,920</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97" w:type="dxa"/>
            <w:tcBorders/>
            <w:vAlign w:val="center"/>
          </w:tcPr>
          <w:p>
            <w:pPr>
              <w:pStyle w:val="TableContents"/>
              <w:bidi w:val="0"/>
              <w:spacing w:before="0" w:after="0"/>
              <w:ind w:left="0" w:right="0" w:hanging="0"/>
              <w:jc w:val="left"/>
              <w:rPr>
                <w:color w:val="231F20"/>
              </w:rPr>
            </w:pPr>
            <w:r>
              <w:rPr>
                <w:color w:val="231F20"/>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21,769</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Commercial Real Estate</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328"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66,180</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97"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50,844</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Commercial Line of Credit (LOC)</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12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8,574</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97"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12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12,531</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Total</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328"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258,104</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97"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248,205</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Add premiums on purchased loans</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328" w:type="dxa"/>
            <w:tcBorders/>
            <w:vAlign w:val="center"/>
          </w:tcPr>
          <w:p>
            <w:pPr>
              <w:pStyle w:val="TableContents"/>
              <w:bidi w:val="0"/>
              <w:spacing w:before="0" w:after="0"/>
              <w:ind w:left="0" w:right="0" w:hanging="0"/>
              <w:jc w:val="left"/>
              <w:rPr>
                <w:color w:val="231F20"/>
              </w:rPr>
            </w:pPr>
            <w:r>
              <w:rPr>
                <w:color w:val="231F20"/>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36</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97" w:type="dxa"/>
            <w:tcBorders/>
            <w:vAlign w:val="center"/>
          </w:tcPr>
          <w:p>
            <w:pPr>
              <w:pStyle w:val="TableContents"/>
              <w:bidi w:val="0"/>
              <w:spacing w:before="0" w:after="0"/>
              <w:ind w:left="0" w:right="0" w:hanging="0"/>
              <w:jc w:val="left"/>
              <w:rPr>
                <w:color w:val="231F20"/>
              </w:rPr>
            </w:pPr>
            <w:r>
              <w:rPr>
                <w:color w:val="231F20"/>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45</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Less:</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328"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218" w:type="dxa"/>
            <w:tcBorders/>
            <w:shd w:fill="CCEEFF" w:val="clear"/>
            <w:vAlign w:val="center"/>
          </w:tcPr>
          <w:p>
            <w:pPr>
              <w:pStyle w:val="TableContents"/>
              <w:bidi w:val="0"/>
              <w:spacing w:before="0" w:after="0"/>
              <w:ind w:left="0" w:right="0" w:hanging="0"/>
              <w:jc w:val="right"/>
              <w:rPr>
                <w:color w:val="231F20"/>
              </w:rPr>
            </w:pPr>
            <w:r>
              <w:rPr>
                <w:color w:val="231F20"/>
              </w:rPr>
              <w:t>  </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97"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249" w:type="dxa"/>
            <w:tcBorders/>
            <w:shd w:fill="CCEEFF" w:val="clear"/>
            <w:vAlign w:val="center"/>
          </w:tcPr>
          <w:p>
            <w:pPr>
              <w:pStyle w:val="TableContents"/>
              <w:bidi w:val="0"/>
              <w:spacing w:before="0" w:after="0"/>
              <w:ind w:left="0" w:right="0" w:hanging="0"/>
              <w:jc w:val="right"/>
              <w:rPr>
                <w:color w:val="231F20"/>
              </w:rPr>
            </w:pPr>
            <w:r>
              <w:rPr>
                <w:color w:val="231F20"/>
              </w:rPr>
              <w:t>​</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Loans sold</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328" w:type="dxa"/>
            <w:tcBorders/>
            <w:vAlign w:val="center"/>
          </w:tcPr>
          <w:p>
            <w:pPr>
              <w:pStyle w:val="TableContents"/>
              <w:bidi w:val="0"/>
              <w:spacing w:before="0" w:after="0"/>
              <w:ind w:left="0" w:right="0" w:hanging="0"/>
              <w:jc w:val="left"/>
              <w:rPr>
                <w:color w:val="231F20"/>
              </w:rPr>
            </w:pPr>
            <w:r>
              <w:rPr>
                <w:color w:val="231F20"/>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(4,401)</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97" w:type="dxa"/>
            <w:tcBorders/>
            <w:vAlign w:val="center"/>
          </w:tcPr>
          <w:p>
            <w:pPr>
              <w:pStyle w:val="TableContents"/>
              <w:bidi w:val="0"/>
              <w:spacing w:before="0" w:after="0"/>
              <w:ind w:left="0" w:right="0" w:hanging="0"/>
              <w:jc w:val="left"/>
              <w:rPr>
                <w:color w:val="231F20"/>
              </w:rPr>
            </w:pPr>
            <w:r>
              <w:rPr>
                <w:color w:val="231F20"/>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(4,440)</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Loans in process</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328"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(706)</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97"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Allowance for credit losses</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328" w:type="dxa"/>
            <w:tcBorders/>
            <w:vAlign w:val="center"/>
          </w:tcPr>
          <w:p>
            <w:pPr>
              <w:pStyle w:val="TableContents"/>
              <w:bidi w:val="0"/>
              <w:spacing w:before="0" w:after="0"/>
              <w:ind w:left="0" w:right="0" w:hanging="0"/>
              <w:jc w:val="left"/>
              <w:rPr>
                <w:color w:val="231F20"/>
              </w:rPr>
            </w:pPr>
            <w:r>
              <w:rPr>
                <w:color w:val="231F20"/>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(2,547)</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97" w:type="dxa"/>
            <w:tcBorders/>
            <w:vAlign w:val="center"/>
          </w:tcPr>
          <w:p>
            <w:pPr>
              <w:pStyle w:val="TableContents"/>
              <w:bidi w:val="0"/>
              <w:spacing w:before="0" w:after="0"/>
              <w:ind w:left="0" w:right="0" w:hanging="0"/>
              <w:jc w:val="left"/>
              <w:rPr>
                <w:color w:val="231F20"/>
              </w:rPr>
            </w:pPr>
            <w:r>
              <w:rPr>
                <w:color w:val="231F20"/>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(2,126)</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Deferred income from loan fees</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(1,085)</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12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(760)</w:t>
            </w:r>
          </w:p>
        </w:tc>
      </w:tr>
      <w:tr>
        <w:trPr/>
        <w:tc>
          <w:tcPr>
            <w:tcW w:w="30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3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12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249,401</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9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24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color w:val="231F20"/>
                <w:sz w:val="20"/>
              </w:rPr>
            </w:pPr>
            <w:r>
              <w:rPr>
                <w:rFonts w:ascii="Times New Roman;Times;serif" w:hAnsi="Times New Roman;Times;serif"/>
                <w:color w:val="231F20"/>
                <w:sz w:val="20"/>
              </w:rPr>
              <w:t>240,928</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Activity in the allowance for credit losses is summarized for the three and nine months ended September 30, 2025 and 2024, as follows (in thousands):</w:t>
      </w:r>
    </w:p>
    <w:tbl>
      <w:tblPr>
        <w:tblW w:w="12273" w:type="dxa"/>
        <w:jc w:val="left"/>
        <w:tblInd w:w="0" w:type="dxa"/>
        <w:tblLayout w:type="fixed"/>
        <w:tblCellMar>
          <w:top w:w="0" w:type="dxa"/>
          <w:left w:w="0" w:type="dxa"/>
          <w:bottom w:w="0" w:type="dxa"/>
          <w:right w:w="0" w:type="dxa"/>
        </w:tblCellMar>
      </w:tblPr>
      <w:tblGrid>
        <w:gridCol w:w="1261"/>
        <w:gridCol w:w="326"/>
        <w:gridCol w:w="202"/>
        <w:gridCol w:w="489"/>
        <w:gridCol w:w="326"/>
        <w:gridCol w:w="961"/>
        <w:gridCol w:w="326"/>
        <w:gridCol w:w="304"/>
        <w:gridCol w:w="582"/>
        <w:gridCol w:w="326"/>
        <w:gridCol w:w="586"/>
        <w:gridCol w:w="326"/>
        <w:gridCol w:w="304"/>
        <w:gridCol w:w="582"/>
        <w:gridCol w:w="326"/>
        <w:gridCol w:w="856"/>
        <w:gridCol w:w="326"/>
        <w:gridCol w:w="268"/>
        <w:gridCol w:w="558"/>
        <w:gridCol w:w="326"/>
        <w:gridCol w:w="826"/>
        <w:gridCol w:w="326"/>
        <w:gridCol w:w="181"/>
        <w:gridCol w:w="346"/>
        <w:gridCol w:w="326"/>
        <w:gridCol w:w="181"/>
        <w:gridCol w:w="526"/>
      </w:tblGrid>
      <w:tr>
        <w:trPr/>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800735" cy="175260"/>
                      <wp:effectExtent l="0" t="0" r="0" b="0"/>
                      <wp:wrapNone/>
                      <wp:docPr id="135" name="Frame134"/>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6" name="Frame1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28270" cy="175260"/>
                      <wp:effectExtent l="0" t="0" r="0" b="0"/>
                      <wp:wrapNone/>
                      <wp:docPr id="137" name="Frame136"/>
                      <a:graphic xmlns:a="http://schemas.openxmlformats.org/drawingml/2006/main">
                        <a:graphicData uri="http://schemas.microsoft.com/office/word/2010/wordprocessingShape">
                          <wps:wsp>
                            <wps:cNvSpPr txBox="1"/>
                            <wps:spPr>
                              <a:xfrm>
                                <a:off x="0" y="0"/>
                                <a:ext cx="128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310515" cy="175260"/>
                      <wp:effectExtent l="0" t="0" r="0" b="0"/>
                      <wp:wrapNone/>
                      <wp:docPr id="138" name="Frame137"/>
                      <a:graphic xmlns:a="http://schemas.openxmlformats.org/drawingml/2006/main">
                        <a:graphicData uri="http://schemas.microsoft.com/office/word/2010/wordprocessingShape">
                          <wps:wsp>
                            <wps:cNvSpPr txBox="1"/>
                            <wps:spPr>
                              <a:xfrm>
                                <a:off x="0" y="0"/>
                                <a:ext cx="310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9"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10235" cy="175260"/>
                      <wp:effectExtent l="0" t="0" r="0" b="0"/>
                      <wp:wrapNone/>
                      <wp:docPr id="140" name="Frame139"/>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7010" cy="175260"/>
                      <wp:effectExtent l="0" t="0" r="0" b="0"/>
                      <wp:wrapNone/>
                      <wp:docPr id="141" name="Frame1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93040" cy="175260"/>
                      <wp:effectExtent l="0" t="0" r="0" b="0"/>
                      <wp:wrapNone/>
                      <wp:docPr id="142" name="Frame141"/>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369570" cy="175260"/>
                      <wp:effectExtent l="0" t="0" r="0" b="0"/>
                      <wp:wrapNone/>
                      <wp:docPr id="143" name="Frame142"/>
                      <a:graphic xmlns:a="http://schemas.openxmlformats.org/drawingml/2006/main">
                        <a:graphicData uri="http://schemas.microsoft.com/office/word/2010/wordprocessingShape">
                          <wps:wsp>
                            <wps:cNvSpPr txBox="1"/>
                            <wps:spPr>
                              <a:xfrm>
                                <a:off x="0" y="0"/>
                                <a:ext cx="369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7010" cy="175260"/>
                      <wp:effectExtent l="0" t="0" r="0" b="0"/>
                      <wp:wrapNone/>
                      <wp:docPr id="144" name="Frame1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372110" cy="175260"/>
                      <wp:effectExtent l="0" t="0" r="0" b="0"/>
                      <wp:wrapNone/>
                      <wp:docPr id="145" name="Frame14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6" name="Frame1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93040" cy="175260"/>
                      <wp:effectExtent l="0" t="0" r="0" b="0"/>
                      <wp:wrapNone/>
                      <wp:docPr id="147" name="Frame146"/>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369570" cy="175260"/>
                      <wp:effectExtent l="0" t="0" r="0" b="0"/>
                      <wp:wrapNone/>
                      <wp:docPr id="148" name="Frame147"/>
                      <a:graphic xmlns:a="http://schemas.openxmlformats.org/drawingml/2006/main">
                        <a:graphicData uri="http://schemas.microsoft.com/office/word/2010/wordprocessingShape">
                          <wps:wsp>
                            <wps:cNvSpPr txBox="1"/>
                            <wps:spPr>
                              <a:xfrm>
                                <a:off x="0" y="0"/>
                                <a:ext cx="369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7010" cy="175260"/>
                      <wp:effectExtent l="0" t="0" r="0" b="0"/>
                      <wp:wrapNone/>
                      <wp:docPr id="149" name="Frame1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543560" cy="175260"/>
                      <wp:effectExtent l="0" t="0" r="0" b="0"/>
                      <wp:wrapNone/>
                      <wp:docPr id="150" name="Frame149"/>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7010" cy="175260"/>
                      <wp:effectExtent l="0" t="0" r="0" b="0"/>
                      <wp:wrapNone/>
                      <wp:docPr id="151" name="Frame1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70180" cy="175260"/>
                      <wp:effectExtent l="0" t="0" r="0" b="0"/>
                      <wp:wrapNone/>
                      <wp:docPr id="152" name="Frame151"/>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354330" cy="175260"/>
                      <wp:effectExtent l="0" t="0" r="0" b="0"/>
                      <wp:wrapNone/>
                      <wp:docPr id="153" name="Frame152"/>
                      <a:graphic xmlns:a="http://schemas.openxmlformats.org/drawingml/2006/main">
                        <a:graphicData uri="http://schemas.microsoft.com/office/word/2010/wordprocessingShape">
                          <wps:wsp>
                            <wps:cNvSpPr txBox="1"/>
                            <wps:spPr>
                              <a:xfrm>
                                <a:off x="0" y="0"/>
                                <a:ext cx="354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4" name="Frame1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524510" cy="175260"/>
                      <wp:effectExtent l="0" t="0" r="0" b="0"/>
                      <wp:wrapNone/>
                      <wp:docPr id="155" name="Frame15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07010" cy="175260"/>
                      <wp:effectExtent l="0" t="0" r="0" b="0"/>
                      <wp:wrapNone/>
                      <wp:docPr id="156" name="Frame1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14935" cy="175260"/>
                      <wp:effectExtent l="0" t="0" r="0" b="0"/>
                      <wp:wrapNone/>
                      <wp:docPr id="157" name="Frame15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9710" cy="175260"/>
                      <wp:effectExtent l="0" t="0" r="0" b="0"/>
                      <wp:wrapNone/>
                      <wp:docPr id="158" name="Frame1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010" cy="175260"/>
                      <wp:effectExtent l="0" t="0" r="0" b="0"/>
                      <wp:wrapNone/>
                      <wp:docPr id="159" name="Frame1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14935" cy="175260"/>
                      <wp:effectExtent l="0" t="0" r="0" b="0"/>
                      <wp:wrapNone/>
                      <wp:docPr id="160" name="Frame15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334010" cy="175260"/>
                      <wp:effectExtent l="0" t="0" r="0" b="0"/>
                      <wp:wrapNone/>
                      <wp:docPr id="161" name="Frame160"/>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69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Home</w:t>
            </w:r>
          </w:p>
        </w:tc>
        <w:tc>
          <w:tcPr>
            <w:tcW w:w="326" w:type="dxa"/>
            <w:tcBorders/>
            <w:vAlign w:val="center"/>
          </w:tcPr>
          <w:p>
            <w:pPr>
              <w:pStyle w:val="TableContents"/>
              <w:bidi w:val="0"/>
              <w:spacing w:before="0" w:after="0"/>
              <w:ind w:left="0" w:right="0" w:hanging="0"/>
              <w:jc w:val="center"/>
              <w:rPr/>
            </w:pPr>
            <w:r>
              <w:rPr/>
              <w:t>    </w:t>
            </w:r>
          </w:p>
        </w:tc>
        <w:tc>
          <w:tcPr>
            <w:tcW w:w="5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304"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8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68" w:type="dxa"/>
            <w:tcBorders/>
            <w:vAlign w:val="center"/>
          </w:tcPr>
          <w:p>
            <w:pPr>
              <w:pStyle w:val="TableContents"/>
              <w:bidi w:val="0"/>
              <w:spacing w:before="0" w:after="0"/>
              <w:ind w:left="0" w:right="0" w:hanging="0"/>
              <w:jc w:val="left"/>
              <w:rPr/>
            </w:pPr>
            <w:r>
              <w:rPr/>
              <w:t>​</w:t>
            </w:r>
          </w:p>
        </w:tc>
        <w:tc>
          <w:tcPr>
            <w:tcW w:w="55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center"/>
              <w:rPr/>
            </w:pPr>
            <w:r>
              <w:rPr/>
              <w:t>​</w:t>
            </w:r>
          </w:p>
        </w:tc>
        <w:tc>
          <w:tcPr>
            <w:tcW w:w="526" w:type="dxa"/>
            <w:tcBorders/>
            <w:vAlign w:val="center"/>
          </w:tcPr>
          <w:p>
            <w:pPr>
              <w:pStyle w:val="TableContents"/>
              <w:bidi w:val="0"/>
              <w:spacing w:before="0" w:after="0"/>
              <w:ind w:left="0" w:right="0" w:hanging="0"/>
              <w:jc w:val="center"/>
              <w:rPr/>
            </w:pPr>
            <w:r>
              <w:rPr/>
              <w:t>​</w:t>
            </w:r>
          </w:p>
        </w:tc>
      </w:tr>
      <w:tr>
        <w:trPr/>
        <w:tc>
          <w:tcPr>
            <w:tcW w:w="1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9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Purchased</w:t>
            </w:r>
          </w:p>
        </w:tc>
        <w:tc>
          <w:tcPr>
            <w:tcW w:w="32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improvement</w:t>
            </w:r>
          </w:p>
        </w:tc>
        <w:tc>
          <w:tcPr>
            <w:tcW w:w="32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Construction,</w:t>
            </w:r>
          </w:p>
        </w:tc>
        <w:tc>
          <w:tcPr>
            <w:tcW w:w="32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Commercial</w:t>
            </w:r>
          </w:p>
        </w:tc>
        <w:tc>
          <w:tcPr>
            <w:tcW w:w="32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Commercial</w:t>
            </w:r>
          </w:p>
        </w:tc>
        <w:tc>
          <w:tcPr>
            <w:tcW w:w="32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526" w:type="dxa"/>
            <w:tcBorders/>
            <w:vAlign w:val="center"/>
          </w:tcPr>
          <w:p>
            <w:pPr>
              <w:pStyle w:val="TableContents"/>
              <w:bidi w:val="0"/>
              <w:spacing w:before="0" w:after="0"/>
              <w:ind w:left="0" w:right="0" w:hanging="0"/>
              <w:jc w:val="center"/>
              <w:rPr/>
            </w:pPr>
            <w:r>
              <w:rPr/>
              <w:t>​</w:t>
            </w:r>
          </w:p>
        </w:tc>
      </w:tr>
      <w:tr>
        <w:trPr/>
        <w:tc>
          <w:tcPr>
            <w:tcW w:w="1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9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First</w:t>
            </w:r>
          </w:p>
        </w:tc>
        <w:tc>
          <w:tcPr>
            <w:tcW w:w="32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and</w:t>
            </w:r>
          </w:p>
        </w:tc>
        <w:tc>
          <w:tcPr>
            <w:tcW w:w="32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first</w:t>
            </w:r>
          </w:p>
        </w:tc>
        <w:tc>
          <w:tcPr>
            <w:tcW w:w="32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first</w:t>
            </w:r>
          </w:p>
        </w:tc>
        <w:tc>
          <w:tcPr>
            <w:tcW w:w="32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Commercial</w:t>
            </w:r>
          </w:p>
        </w:tc>
        <w:tc>
          <w:tcPr>
            <w:tcW w:w="326" w:type="dxa"/>
            <w:tcBorders/>
            <w:vAlign w:val="center"/>
          </w:tcPr>
          <w:p>
            <w:pPr>
              <w:pStyle w:val="TableContents"/>
              <w:bidi w:val="0"/>
              <w:spacing w:before="0" w:after="0"/>
              <w:ind w:left="0" w:right="0" w:hanging="0"/>
              <w:jc w:val="center"/>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and</w:t>
            </w:r>
          </w:p>
        </w:tc>
        <w:tc>
          <w:tcPr>
            <w:tcW w:w="32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real</w:t>
            </w:r>
          </w:p>
        </w:tc>
        <w:tc>
          <w:tcPr>
            <w:tcW w:w="32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526" w:type="dxa"/>
            <w:tcBorders/>
            <w:vAlign w:val="center"/>
          </w:tcPr>
          <w:p>
            <w:pPr>
              <w:pStyle w:val="TableContents"/>
              <w:bidi w:val="0"/>
              <w:spacing w:before="0" w:after="0"/>
              <w:ind w:left="0" w:right="0" w:hanging="0"/>
              <w:jc w:val="center"/>
              <w:rPr/>
            </w:pPr>
            <w:r>
              <w:rPr/>
              <w:t>​</w:t>
            </w:r>
          </w:p>
        </w:tc>
      </w:tr>
      <w:tr>
        <w:trPr/>
        <w:tc>
          <w:tcPr>
            <w:tcW w:w="1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Mortgage</w:t>
            </w:r>
          </w:p>
        </w:tc>
        <w:tc>
          <w:tcPr>
            <w:tcW w:w="326" w:type="dxa"/>
            <w:tcBorders/>
            <w:vAlign w:val="center"/>
          </w:tcPr>
          <w:p>
            <w:pPr>
              <w:pStyle w:val="TableContents"/>
              <w:bidi w:val="0"/>
              <w:spacing w:before="0" w:after="0"/>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participations</w:t>
            </w:r>
          </w:p>
        </w:tc>
        <w:tc>
          <w:tcPr>
            <w:tcW w:w="326" w:type="dxa"/>
            <w:tcBorders/>
            <w:vAlign w:val="center"/>
          </w:tcPr>
          <w:p>
            <w:pPr>
              <w:pStyle w:val="TableContents"/>
              <w:bidi w:val="0"/>
              <w:spacing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mortgage</w:t>
            </w:r>
          </w:p>
        </w:tc>
        <w:tc>
          <w:tcPr>
            <w:tcW w:w="326" w:type="dxa"/>
            <w:tcBorders/>
            <w:vAlign w:val="center"/>
          </w:tcPr>
          <w:p>
            <w:pPr>
              <w:pStyle w:val="TableContents"/>
              <w:bidi w:val="0"/>
              <w:spacing w:before="0" w:after="0"/>
              <w:ind w:left="0" w:right="0" w:hanging="0"/>
              <w:jc w:val="center"/>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HELOC</w:t>
            </w:r>
          </w:p>
        </w:tc>
        <w:tc>
          <w:tcPr>
            <w:tcW w:w="326" w:type="dxa"/>
            <w:tcBorders/>
            <w:vAlign w:val="center"/>
          </w:tcPr>
          <w:p>
            <w:pPr>
              <w:pStyle w:val="TableContents"/>
              <w:bidi w:val="0"/>
              <w:spacing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mortgage</w:t>
            </w:r>
          </w:p>
        </w:tc>
        <w:tc>
          <w:tcPr>
            <w:tcW w:w="326" w:type="dxa"/>
            <w:tcBorders/>
            <w:vAlign w:val="center"/>
          </w:tcPr>
          <w:p>
            <w:pPr>
              <w:pStyle w:val="TableContents"/>
              <w:bidi w:val="0"/>
              <w:spacing w:before="0" w:after="0"/>
              <w:ind w:left="0" w:right="0" w:hanging="0"/>
              <w:jc w:val="center"/>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construction</w:t>
            </w:r>
          </w:p>
        </w:tc>
        <w:tc>
          <w:tcPr>
            <w:tcW w:w="326" w:type="dxa"/>
            <w:tcBorders/>
            <w:vAlign w:val="center"/>
          </w:tcPr>
          <w:p>
            <w:pPr>
              <w:pStyle w:val="TableContents"/>
              <w:bidi w:val="0"/>
              <w:spacing w:before="0" w:after="0"/>
              <w:ind w:left="0" w:right="0" w:hanging="0"/>
              <w:jc w:val="center"/>
              <w:rPr/>
            </w:pPr>
            <w:r>
              <w:rPr/>
              <w:t>​</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industrial</w:t>
            </w:r>
          </w:p>
        </w:tc>
        <w:tc>
          <w:tcPr>
            <w:tcW w:w="326" w:type="dxa"/>
            <w:tcBorders/>
            <w:vAlign w:val="center"/>
          </w:tcPr>
          <w:p>
            <w:pPr>
              <w:pStyle w:val="TableContents"/>
              <w:bidi w:val="0"/>
              <w:spacing w:before="0" w:after="0"/>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estate</w:t>
            </w:r>
          </w:p>
        </w:tc>
        <w:tc>
          <w:tcPr>
            <w:tcW w:w="326" w:type="dxa"/>
            <w:tcBorders/>
            <w:vAlign w:val="center"/>
          </w:tcPr>
          <w:p>
            <w:pPr>
              <w:pStyle w:val="TableContents"/>
              <w:bidi w:val="0"/>
              <w:spacing w:before="0" w:after="0"/>
              <w:ind w:left="0" w:right="0" w:hanging="0"/>
              <w:jc w:val="center"/>
              <w:rPr/>
            </w:pPr>
            <w:r>
              <w:rPr/>
              <w:t>​</w:t>
            </w:r>
          </w:p>
        </w:tc>
        <w:tc>
          <w:tcPr>
            <w:tcW w:w="5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LOC</w:t>
            </w:r>
          </w:p>
        </w:tc>
        <w:tc>
          <w:tcPr>
            <w:tcW w:w="326" w:type="dxa"/>
            <w:tcBorders/>
            <w:vAlign w:val="center"/>
          </w:tcPr>
          <w:p>
            <w:pPr>
              <w:pStyle w:val="TableContents"/>
              <w:bidi w:val="0"/>
              <w:spacing w:before="0" w:after="0"/>
              <w:ind w:left="0" w:right="0" w:hanging="0"/>
              <w:jc w:val="center"/>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126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Allowance for Credit Loss</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489"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304"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304"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68" w:type="dxa"/>
            <w:tcBorders/>
            <w:shd w:fill="CCEEFF" w:val="clear"/>
            <w:vAlign w:val="center"/>
          </w:tcPr>
          <w:p>
            <w:pPr>
              <w:pStyle w:val="TableContents"/>
              <w:bidi w:val="0"/>
              <w:spacing w:before="0" w:after="0"/>
              <w:ind w:left="0" w:right="0" w:hanging="0"/>
              <w:jc w:val="left"/>
              <w:rPr/>
            </w:pPr>
            <w:r>
              <w:rPr/>
              <w:t>​</w:t>
            </w:r>
          </w:p>
        </w:tc>
        <w:tc>
          <w:tcPr>
            <w:tcW w:w="558"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  </w:t>
            </w:r>
          </w:p>
        </w:tc>
      </w:tr>
      <w:tr>
        <w:trPr/>
        <w:tc>
          <w:tcPr>
            <w:tcW w:w="126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For the Three Months Ended</w:t>
            </w:r>
          </w:p>
        </w:tc>
        <w:tc>
          <w:tcPr>
            <w:tcW w:w="32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4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5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r>
      <w:tr>
        <w:trPr/>
        <w:tc>
          <w:tcPr>
            <w:tcW w:w="12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Beginning balance July 1, 2024</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8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953</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w:t>
            </w:r>
          </w:p>
        </w:tc>
        <w:tc>
          <w:tcPr>
            <w:tcW w:w="326" w:type="dxa"/>
            <w:tcBorders/>
            <w:shd w:fill="CCEEFF" w:val="clear"/>
            <w:vAlign w:val="center"/>
          </w:tcPr>
          <w:p>
            <w:pPr>
              <w:pStyle w:val="TableContents"/>
              <w:bidi w:val="0"/>
              <w:spacing w:before="0" w:after="0"/>
              <w:ind w:left="0" w:right="0" w:hanging="0"/>
              <w:jc w:val="left"/>
              <w:rPr/>
            </w:pPr>
            <w:r>
              <w:rPr/>
              <w:t> </w:t>
            </w:r>
          </w:p>
        </w:tc>
        <w:tc>
          <w:tcPr>
            <w:tcW w:w="304"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w:t>
            </w:r>
          </w:p>
        </w:tc>
        <w:tc>
          <w:tcPr>
            <w:tcW w:w="326" w:type="dxa"/>
            <w:tcBorders/>
            <w:shd w:fill="CCEEFF" w:val="clear"/>
            <w:vAlign w:val="center"/>
          </w:tcPr>
          <w:p>
            <w:pPr>
              <w:pStyle w:val="TableContents"/>
              <w:bidi w:val="0"/>
              <w:spacing w:before="0" w:after="0"/>
              <w:ind w:left="0" w:right="0" w:hanging="0"/>
              <w:jc w:val="left"/>
              <w:rPr/>
            </w:pPr>
            <w:r>
              <w:rPr/>
              <w:t> </w:t>
            </w:r>
          </w:p>
        </w:tc>
        <w:tc>
          <w:tcPr>
            <w:tcW w:w="304"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173</w:t>
            </w:r>
          </w:p>
        </w:tc>
        <w:tc>
          <w:tcPr>
            <w:tcW w:w="326" w:type="dxa"/>
            <w:tcBorders/>
            <w:shd w:fill="CCEEFF" w:val="clear"/>
            <w:vAlign w:val="center"/>
          </w:tcPr>
          <w:p>
            <w:pPr>
              <w:pStyle w:val="TableContents"/>
              <w:bidi w:val="0"/>
              <w:spacing w:before="0" w:after="0"/>
              <w:ind w:left="0" w:right="0" w:hanging="0"/>
              <w:jc w:val="left"/>
              <w:rPr/>
            </w:pPr>
            <w:r>
              <w:rPr/>
              <w:t> </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5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166</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387</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95</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1,887</w:t>
            </w:r>
          </w:p>
        </w:tc>
      </w:tr>
      <w:tr>
        <w:trPr/>
        <w:tc>
          <w:tcPr>
            <w:tcW w:w="12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Provision</w:t>
            </w:r>
          </w:p>
        </w:tc>
        <w:tc>
          <w:tcPr>
            <w:tcW w:w="32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48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535</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w:t>
            </w:r>
          </w:p>
        </w:tc>
        <w:tc>
          <w:tcPr>
            <w:tcW w:w="326" w:type="dxa"/>
            <w:tcBorders/>
            <w:vAlign w:val="center"/>
          </w:tcPr>
          <w:p>
            <w:pPr>
              <w:pStyle w:val="TableContents"/>
              <w:bidi w:val="0"/>
              <w:spacing w:before="0" w:after="0"/>
              <w:ind w:left="0" w:right="0" w:hanging="0"/>
              <w:jc w:val="left"/>
              <w:rPr/>
            </w:pPr>
            <w:r>
              <w:rPr/>
              <w:t> </w:t>
            </w:r>
          </w:p>
        </w:tc>
        <w:tc>
          <w:tcPr>
            <w:tcW w:w="304"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w:t>
            </w:r>
          </w:p>
        </w:tc>
        <w:tc>
          <w:tcPr>
            <w:tcW w:w="326" w:type="dxa"/>
            <w:tcBorders/>
            <w:vAlign w:val="center"/>
          </w:tcPr>
          <w:p>
            <w:pPr>
              <w:pStyle w:val="TableContents"/>
              <w:bidi w:val="0"/>
              <w:spacing w:before="0" w:after="0"/>
              <w:ind w:left="0" w:right="0" w:hanging="0"/>
              <w:jc w:val="left"/>
              <w:rPr/>
            </w:pPr>
            <w:r>
              <w:rPr/>
              <w:t> </w:t>
            </w:r>
          </w:p>
        </w:tc>
        <w:tc>
          <w:tcPr>
            <w:tcW w:w="304"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(94)</w:t>
            </w:r>
          </w:p>
        </w:tc>
        <w:tc>
          <w:tcPr>
            <w:tcW w:w="32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w:t>
            </w:r>
          </w:p>
        </w:tc>
        <w:tc>
          <w:tcPr>
            <w:tcW w:w="55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(108)</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(168)</w:t>
            </w:r>
          </w:p>
        </w:tc>
        <w:tc>
          <w:tcPr>
            <w:tcW w:w="32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(95)</w:t>
            </w:r>
          </w:p>
        </w:tc>
        <w:tc>
          <w:tcPr>
            <w:tcW w:w="32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117</w:t>
            </w:r>
          </w:p>
        </w:tc>
      </w:tr>
      <w:tr>
        <w:trPr/>
        <w:tc>
          <w:tcPr>
            <w:tcW w:w="12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Charge-offs</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48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04"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04"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68" w:type="dxa"/>
            <w:tcBorders/>
            <w:shd w:fill="CCEEFF" w:val="clear"/>
            <w:vAlign w:val="center"/>
          </w:tcPr>
          <w:p>
            <w:pPr>
              <w:pStyle w:val="TableContents"/>
              <w:bidi w:val="0"/>
              <w:spacing w:before="0" w:after="0"/>
              <w:ind w:left="0" w:right="0" w:hanging="0"/>
              <w:jc w:val="left"/>
              <w:rPr/>
            </w:pPr>
            <w:r>
              <w:rPr/>
              <w:t>​</w:t>
            </w:r>
          </w:p>
        </w:tc>
        <w:tc>
          <w:tcPr>
            <w:tcW w:w="55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r>
      <w:tr>
        <w:trPr/>
        <w:tc>
          <w:tcPr>
            <w:tcW w:w="12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Recoveries</w:t>
            </w:r>
          </w:p>
        </w:tc>
        <w:tc>
          <w:tcPr>
            <w:tcW w:w="326" w:type="dxa"/>
            <w:tcBorders/>
            <w:vAlign w:val="center"/>
          </w:tcPr>
          <w:p>
            <w:pPr>
              <w:pStyle w:val="TableContents"/>
              <w:bidi w:val="0"/>
              <w:spacing w:before="0" w:after="0"/>
              <w:ind w:left="0" w:right="0" w:hanging="0"/>
              <w:jc w:val="left"/>
              <w:rPr/>
            </w:pPr>
            <w:r>
              <w:rPr/>
              <w:t>​</w:t>
            </w:r>
          </w:p>
        </w:tc>
        <w:tc>
          <w:tcPr>
            <w:tcW w:w="2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2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Ending balance September 30, 2024</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1,488</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102</w:t>
            </w:r>
          </w:p>
        </w:tc>
        <w:tc>
          <w:tcPr>
            <w:tcW w:w="326" w:type="dxa"/>
            <w:tcBorders/>
            <w:shd w:fill="CCEEFF" w:val="clear"/>
            <w:vAlign w:val="center"/>
          </w:tcPr>
          <w:p>
            <w:pPr>
              <w:pStyle w:val="TableContents"/>
              <w:bidi w:val="0"/>
              <w:spacing w:before="0" w:after="0"/>
              <w:ind w:left="0" w:right="0" w:hanging="0"/>
              <w:jc w:val="left"/>
              <w:rPr/>
            </w:pPr>
            <w:r>
              <w:rPr/>
              <w:t> </w:t>
            </w:r>
          </w:p>
        </w:tc>
        <w:tc>
          <w:tcPr>
            <w:tcW w:w="3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w:t>
            </w:r>
          </w:p>
        </w:tc>
        <w:tc>
          <w:tcPr>
            <w:tcW w:w="326" w:type="dxa"/>
            <w:tcBorders/>
            <w:shd w:fill="CCEEFF" w:val="clear"/>
            <w:vAlign w:val="center"/>
          </w:tcPr>
          <w:p>
            <w:pPr>
              <w:pStyle w:val="TableContents"/>
              <w:bidi w:val="0"/>
              <w:spacing w:before="0" w:after="0"/>
              <w:ind w:left="0" w:right="0" w:hanging="0"/>
              <w:jc w:val="left"/>
              <w:rPr/>
            </w:pPr>
            <w:r>
              <w:rPr/>
              <w:t> </w:t>
            </w:r>
          </w:p>
        </w:tc>
        <w:tc>
          <w:tcPr>
            <w:tcW w:w="3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79</w:t>
            </w:r>
          </w:p>
        </w:tc>
        <w:tc>
          <w:tcPr>
            <w:tcW w:w="326" w:type="dxa"/>
            <w:tcBorders/>
            <w:shd w:fill="CCEEFF" w:val="clear"/>
            <w:vAlign w:val="center"/>
          </w:tcPr>
          <w:p>
            <w:pPr>
              <w:pStyle w:val="TableContents"/>
              <w:bidi w:val="0"/>
              <w:spacing w:before="0" w:after="0"/>
              <w:ind w:left="0" w:right="0" w:hanging="0"/>
              <w:jc w:val="left"/>
              <w:rPr/>
            </w:pPr>
            <w:r>
              <w:rPr/>
              <w:t> </w:t>
            </w:r>
          </w:p>
        </w:tc>
        <w:tc>
          <w:tcPr>
            <w:tcW w:w="2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58</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219</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2,004</w:t>
            </w:r>
          </w:p>
        </w:tc>
      </w:tr>
      <w:tr>
        <w:trPr/>
        <w:tc>
          <w:tcPr>
            <w:tcW w:w="12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Beginning balance July 1, 2025</w:t>
            </w:r>
          </w:p>
        </w:tc>
        <w:tc>
          <w:tcPr>
            <w:tcW w:w="32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48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1,114</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69</w:t>
            </w:r>
          </w:p>
        </w:tc>
        <w:tc>
          <w:tcPr>
            <w:tcW w:w="326" w:type="dxa"/>
            <w:tcBorders/>
            <w:vAlign w:val="center"/>
          </w:tcPr>
          <w:p>
            <w:pPr>
              <w:pStyle w:val="TableContents"/>
              <w:bidi w:val="0"/>
              <w:spacing w:before="0" w:after="0"/>
              <w:ind w:left="0" w:right="0" w:hanging="0"/>
              <w:jc w:val="left"/>
              <w:rPr/>
            </w:pPr>
            <w:r>
              <w:rPr/>
              <w:t> </w:t>
            </w:r>
          </w:p>
        </w:tc>
        <w:tc>
          <w:tcPr>
            <w:tcW w:w="304"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w:t>
            </w:r>
          </w:p>
        </w:tc>
        <w:tc>
          <w:tcPr>
            <w:tcW w:w="326" w:type="dxa"/>
            <w:tcBorders/>
            <w:vAlign w:val="center"/>
          </w:tcPr>
          <w:p>
            <w:pPr>
              <w:pStyle w:val="TableContents"/>
              <w:bidi w:val="0"/>
              <w:spacing w:before="0" w:after="0"/>
              <w:ind w:left="0" w:right="0" w:hanging="0"/>
              <w:jc w:val="left"/>
              <w:rPr/>
            </w:pPr>
            <w:r>
              <w:rPr/>
              <w:t> </w:t>
            </w:r>
          </w:p>
        </w:tc>
        <w:tc>
          <w:tcPr>
            <w:tcW w:w="304"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347</w:t>
            </w:r>
          </w:p>
        </w:tc>
        <w:tc>
          <w:tcPr>
            <w:tcW w:w="32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w:t>
            </w:r>
          </w:p>
        </w:tc>
        <w:tc>
          <w:tcPr>
            <w:tcW w:w="55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151</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592</w:t>
            </w:r>
          </w:p>
        </w:tc>
        <w:tc>
          <w:tcPr>
            <w:tcW w:w="32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88</w:t>
            </w:r>
          </w:p>
        </w:tc>
        <w:tc>
          <w:tcPr>
            <w:tcW w:w="32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2,412</w:t>
            </w:r>
          </w:p>
        </w:tc>
      </w:tr>
      <w:tr>
        <w:trPr/>
        <w:tc>
          <w:tcPr>
            <w:tcW w:w="12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Provision</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48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w:t>
            </w:r>
          </w:p>
        </w:tc>
        <w:tc>
          <w:tcPr>
            <w:tcW w:w="326" w:type="dxa"/>
            <w:tcBorders/>
            <w:shd w:fill="CCEEFF" w:val="clear"/>
            <w:vAlign w:val="center"/>
          </w:tcPr>
          <w:p>
            <w:pPr>
              <w:pStyle w:val="TableContents"/>
              <w:bidi w:val="0"/>
              <w:spacing w:before="0" w:after="0"/>
              <w:ind w:left="0" w:right="0" w:hanging="0"/>
              <w:jc w:val="left"/>
              <w:rPr/>
            </w:pPr>
            <w:r>
              <w:rPr/>
              <w:t> </w:t>
            </w:r>
          </w:p>
        </w:tc>
        <w:tc>
          <w:tcPr>
            <w:tcW w:w="304"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04"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w:t>
            </w:r>
          </w:p>
        </w:tc>
        <w:tc>
          <w:tcPr>
            <w:tcW w:w="326" w:type="dxa"/>
            <w:tcBorders/>
            <w:shd w:fill="CCEEFF" w:val="clear"/>
            <w:vAlign w:val="center"/>
          </w:tcPr>
          <w:p>
            <w:pPr>
              <w:pStyle w:val="TableContents"/>
              <w:bidi w:val="0"/>
              <w:spacing w:before="0" w:after="0"/>
              <w:ind w:left="0" w:right="0" w:hanging="0"/>
              <w:jc w:val="left"/>
              <w:rPr/>
            </w:pPr>
            <w:r>
              <w:rPr/>
              <w:t> </w:t>
            </w:r>
          </w:p>
        </w:tc>
        <w:tc>
          <w:tcPr>
            <w:tcW w:w="268" w:type="dxa"/>
            <w:tcBorders/>
            <w:shd w:fill="CCEEFF" w:val="clear"/>
            <w:vAlign w:val="center"/>
          </w:tcPr>
          <w:p>
            <w:pPr>
              <w:pStyle w:val="TableContents"/>
              <w:bidi w:val="0"/>
              <w:spacing w:before="0" w:after="0"/>
              <w:ind w:left="0" w:right="0" w:hanging="0"/>
              <w:jc w:val="left"/>
              <w:rPr/>
            </w:pPr>
            <w:r>
              <w:rPr/>
              <w:t>​</w:t>
            </w:r>
          </w:p>
        </w:tc>
        <w:tc>
          <w:tcPr>
            <w:tcW w:w="55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61</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135</w:t>
            </w:r>
          </w:p>
        </w:tc>
      </w:tr>
      <w:tr>
        <w:trPr/>
        <w:tc>
          <w:tcPr>
            <w:tcW w:w="12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Charge-offs</w:t>
            </w:r>
          </w:p>
        </w:tc>
        <w:tc>
          <w:tcPr>
            <w:tcW w:w="32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4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04"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04"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w:t>
            </w:r>
          </w:p>
        </w:tc>
        <w:tc>
          <w:tcPr>
            <w:tcW w:w="5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r>
      <w:tr>
        <w:trPr/>
        <w:tc>
          <w:tcPr>
            <w:tcW w:w="12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Recoveries</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12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Ending balance September 30, 2025</w:t>
            </w:r>
          </w:p>
        </w:tc>
        <w:tc>
          <w:tcPr>
            <w:tcW w:w="326" w:type="dxa"/>
            <w:tcBorders/>
            <w:vAlign w:val="center"/>
          </w:tcPr>
          <w:p>
            <w:pPr>
              <w:pStyle w:val="TableContents"/>
              <w:bidi w:val="0"/>
              <w:spacing w:before="0" w:after="0"/>
              <w:ind w:left="0" w:right="0" w:hanging="0"/>
              <w:jc w:val="left"/>
              <w:rPr/>
            </w:pPr>
            <w:r>
              <w:rPr/>
              <w:t>​</w:t>
            </w:r>
          </w:p>
        </w:tc>
        <w:tc>
          <w:tcPr>
            <w:tcW w:w="202"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4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1,114</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w:t>
            </w:r>
          </w:p>
        </w:tc>
        <w:tc>
          <w:tcPr>
            <w:tcW w:w="326" w:type="dxa"/>
            <w:tcBorders/>
            <w:vAlign w:val="center"/>
          </w:tcPr>
          <w:p>
            <w:pPr>
              <w:pStyle w:val="TableContents"/>
              <w:bidi w:val="0"/>
              <w:spacing w:before="0" w:after="0"/>
              <w:ind w:left="0" w:right="0" w:hanging="0"/>
              <w:jc w:val="left"/>
              <w:rPr/>
            </w:pPr>
            <w:r>
              <w:rPr/>
              <w:t> </w:t>
            </w:r>
          </w:p>
        </w:tc>
        <w:tc>
          <w:tcPr>
            <w:tcW w:w="304"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5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vAlign w:val="center"/>
          </w:tcPr>
          <w:p>
            <w:pPr>
              <w:pStyle w:val="TableContents"/>
              <w:bidi w:val="0"/>
              <w:spacing w:before="0" w:after="0"/>
              <w:ind w:left="0" w:right="0" w:hanging="0"/>
              <w:jc w:val="left"/>
              <w:rPr/>
            </w:pPr>
            <w:r>
              <w:rPr/>
              <w:t> </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w:t>
            </w:r>
          </w:p>
        </w:tc>
        <w:tc>
          <w:tcPr>
            <w:tcW w:w="326" w:type="dxa"/>
            <w:tcBorders/>
            <w:vAlign w:val="center"/>
          </w:tcPr>
          <w:p>
            <w:pPr>
              <w:pStyle w:val="TableContents"/>
              <w:bidi w:val="0"/>
              <w:spacing w:before="0" w:after="0"/>
              <w:ind w:left="0" w:right="0" w:hanging="0"/>
              <w:jc w:val="left"/>
              <w:rPr/>
            </w:pPr>
            <w:r>
              <w:rPr/>
              <w:t> </w:t>
            </w:r>
          </w:p>
        </w:tc>
        <w:tc>
          <w:tcPr>
            <w:tcW w:w="304"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58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427</w:t>
            </w:r>
          </w:p>
        </w:tc>
        <w:tc>
          <w:tcPr>
            <w:tcW w:w="326" w:type="dxa"/>
            <w:tcBorders/>
            <w:vAlign w:val="center"/>
          </w:tcPr>
          <w:p>
            <w:pPr>
              <w:pStyle w:val="TableContents"/>
              <w:bidi w:val="0"/>
              <w:spacing w:before="0" w:after="0"/>
              <w:ind w:left="0" w:right="0" w:hanging="0"/>
              <w:jc w:val="left"/>
              <w:rPr/>
            </w:pPr>
            <w:r>
              <w:rPr/>
              <w:t> </w:t>
            </w:r>
          </w:p>
        </w:tc>
        <w:tc>
          <w:tcPr>
            <w:tcW w:w="268"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5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157</w:t>
            </w:r>
          </w:p>
        </w:tc>
        <w:tc>
          <w:tcPr>
            <w:tcW w:w="326" w:type="dxa"/>
            <w:tcBorders/>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653</w:t>
            </w:r>
          </w:p>
        </w:tc>
        <w:tc>
          <w:tcPr>
            <w:tcW w:w="32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85</w:t>
            </w:r>
          </w:p>
        </w:tc>
        <w:tc>
          <w:tcPr>
            <w:tcW w:w="32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5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2,547</w:t>
            </w:r>
          </w:p>
        </w:tc>
      </w:tr>
      <w:tr>
        <w:trPr/>
        <w:tc>
          <w:tcPr>
            <w:tcW w:w="126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48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55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r>
      <w:tr>
        <w:trPr/>
        <w:tc>
          <w:tcPr>
            <w:tcW w:w="126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For the Nine Months Ended</w:t>
            </w:r>
          </w:p>
        </w:tc>
        <w:tc>
          <w:tcPr>
            <w:tcW w:w="32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4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5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r>
      <w:tr>
        <w:trPr/>
        <w:tc>
          <w:tcPr>
            <w:tcW w:w="12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Beginning balance January 1, 2024</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8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1,227</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84</w:t>
            </w:r>
          </w:p>
        </w:tc>
        <w:tc>
          <w:tcPr>
            <w:tcW w:w="326" w:type="dxa"/>
            <w:tcBorders/>
            <w:shd w:fill="CCEEFF" w:val="clear"/>
            <w:vAlign w:val="center"/>
          </w:tcPr>
          <w:p>
            <w:pPr>
              <w:pStyle w:val="TableContents"/>
              <w:bidi w:val="0"/>
              <w:spacing w:before="0" w:after="0"/>
              <w:ind w:left="0" w:right="0" w:hanging="0"/>
              <w:jc w:val="left"/>
              <w:rPr/>
            </w:pPr>
            <w:r>
              <w:rPr/>
              <w:t> </w:t>
            </w:r>
          </w:p>
        </w:tc>
        <w:tc>
          <w:tcPr>
            <w:tcW w:w="304"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w:t>
            </w:r>
          </w:p>
        </w:tc>
        <w:tc>
          <w:tcPr>
            <w:tcW w:w="326" w:type="dxa"/>
            <w:tcBorders/>
            <w:shd w:fill="CCEEFF" w:val="clear"/>
            <w:vAlign w:val="center"/>
          </w:tcPr>
          <w:p>
            <w:pPr>
              <w:pStyle w:val="TableContents"/>
              <w:bidi w:val="0"/>
              <w:spacing w:before="0" w:after="0"/>
              <w:ind w:left="0" w:right="0" w:hanging="0"/>
              <w:jc w:val="left"/>
              <w:rPr/>
            </w:pPr>
            <w:r>
              <w:rPr/>
              <w:t> </w:t>
            </w:r>
          </w:p>
        </w:tc>
        <w:tc>
          <w:tcPr>
            <w:tcW w:w="304"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65</w:t>
            </w:r>
          </w:p>
        </w:tc>
        <w:tc>
          <w:tcPr>
            <w:tcW w:w="326" w:type="dxa"/>
            <w:tcBorders/>
            <w:shd w:fill="CCEEFF" w:val="clear"/>
            <w:vAlign w:val="center"/>
          </w:tcPr>
          <w:p>
            <w:pPr>
              <w:pStyle w:val="TableContents"/>
              <w:bidi w:val="0"/>
              <w:spacing w:before="0" w:after="0"/>
              <w:ind w:left="0" w:right="0" w:hanging="0"/>
              <w:jc w:val="left"/>
              <w:rPr/>
            </w:pPr>
            <w:r>
              <w:rPr/>
              <w:t> </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5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181</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1,653</w:t>
            </w:r>
          </w:p>
        </w:tc>
      </w:tr>
      <w:tr>
        <w:trPr/>
        <w:tc>
          <w:tcPr>
            <w:tcW w:w="12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Provision</w:t>
            </w:r>
          </w:p>
        </w:tc>
        <w:tc>
          <w:tcPr>
            <w:tcW w:w="32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48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261</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w:t>
            </w:r>
          </w:p>
        </w:tc>
        <w:tc>
          <w:tcPr>
            <w:tcW w:w="326" w:type="dxa"/>
            <w:tcBorders/>
            <w:vAlign w:val="center"/>
          </w:tcPr>
          <w:p>
            <w:pPr>
              <w:pStyle w:val="TableContents"/>
              <w:bidi w:val="0"/>
              <w:spacing w:before="0" w:after="0"/>
              <w:ind w:left="0" w:right="0" w:hanging="0"/>
              <w:jc w:val="left"/>
              <w:rPr/>
            </w:pPr>
            <w:r>
              <w:rPr/>
              <w:t> </w:t>
            </w:r>
          </w:p>
        </w:tc>
        <w:tc>
          <w:tcPr>
            <w:tcW w:w="304"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w:t>
            </w:r>
          </w:p>
        </w:tc>
        <w:tc>
          <w:tcPr>
            <w:tcW w:w="326" w:type="dxa"/>
            <w:tcBorders/>
            <w:vAlign w:val="center"/>
          </w:tcPr>
          <w:p>
            <w:pPr>
              <w:pStyle w:val="TableContents"/>
              <w:bidi w:val="0"/>
              <w:spacing w:before="0" w:after="0"/>
              <w:ind w:left="0" w:right="0" w:hanging="0"/>
              <w:jc w:val="left"/>
              <w:rPr/>
            </w:pPr>
            <w:r>
              <w:rPr/>
              <w:t> </w:t>
            </w:r>
          </w:p>
        </w:tc>
        <w:tc>
          <w:tcPr>
            <w:tcW w:w="304"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w:t>
            </w:r>
          </w:p>
        </w:tc>
        <w:tc>
          <w:tcPr>
            <w:tcW w:w="32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w:t>
            </w:r>
          </w:p>
        </w:tc>
        <w:tc>
          <w:tcPr>
            <w:tcW w:w="55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w:t>
            </w:r>
          </w:p>
        </w:tc>
        <w:tc>
          <w:tcPr>
            <w:tcW w:w="32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351</w:t>
            </w:r>
          </w:p>
        </w:tc>
      </w:tr>
      <w:tr>
        <w:trPr/>
        <w:tc>
          <w:tcPr>
            <w:tcW w:w="12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Charge-offs</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48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04"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04"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68" w:type="dxa"/>
            <w:tcBorders/>
            <w:shd w:fill="CCEEFF" w:val="clear"/>
            <w:vAlign w:val="center"/>
          </w:tcPr>
          <w:p>
            <w:pPr>
              <w:pStyle w:val="TableContents"/>
              <w:bidi w:val="0"/>
              <w:spacing w:before="0" w:after="0"/>
              <w:ind w:left="0" w:right="0" w:hanging="0"/>
              <w:jc w:val="left"/>
              <w:rPr/>
            </w:pPr>
            <w:r>
              <w:rPr/>
              <w:t>​</w:t>
            </w:r>
          </w:p>
        </w:tc>
        <w:tc>
          <w:tcPr>
            <w:tcW w:w="55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r>
      <w:tr>
        <w:trPr/>
        <w:tc>
          <w:tcPr>
            <w:tcW w:w="12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Recoveries</w:t>
            </w:r>
          </w:p>
        </w:tc>
        <w:tc>
          <w:tcPr>
            <w:tcW w:w="326" w:type="dxa"/>
            <w:tcBorders/>
            <w:vAlign w:val="center"/>
          </w:tcPr>
          <w:p>
            <w:pPr>
              <w:pStyle w:val="TableContents"/>
              <w:bidi w:val="0"/>
              <w:spacing w:before="0" w:after="0"/>
              <w:ind w:left="0" w:right="0" w:hanging="0"/>
              <w:jc w:val="left"/>
              <w:rPr/>
            </w:pPr>
            <w:r>
              <w:rPr/>
              <w:t>​</w:t>
            </w:r>
          </w:p>
        </w:tc>
        <w:tc>
          <w:tcPr>
            <w:tcW w:w="2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2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Ending balance September 30, 2024</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1,488</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102</w:t>
            </w:r>
          </w:p>
        </w:tc>
        <w:tc>
          <w:tcPr>
            <w:tcW w:w="326" w:type="dxa"/>
            <w:tcBorders/>
            <w:shd w:fill="CCEEFF" w:val="clear"/>
            <w:vAlign w:val="center"/>
          </w:tcPr>
          <w:p>
            <w:pPr>
              <w:pStyle w:val="TableContents"/>
              <w:bidi w:val="0"/>
              <w:spacing w:before="0" w:after="0"/>
              <w:ind w:left="0" w:right="0" w:hanging="0"/>
              <w:jc w:val="left"/>
              <w:rPr/>
            </w:pPr>
            <w:r>
              <w:rPr/>
              <w:t> </w:t>
            </w:r>
          </w:p>
        </w:tc>
        <w:tc>
          <w:tcPr>
            <w:tcW w:w="3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w:t>
            </w:r>
          </w:p>
        </w:tc>
        <w:tc>
          <w:tcPr>
            <w:tcW w:w="326" w:type="dxa"/>
            <w:tcBorders/>
            <w:shd w:fill="CCEEFF" w:val="clear"/>
            <w:vAlign w:val="center"/>
          </w:tcPr>
          <w:p>
            <w:pPr>
              <w:pStyle w:val="TableContents"/>
              <w:bidi w:val="0"/>
              <w:spacing w:before="0" w:after="0"/>
              <w:ind w:left="0" w:right="0" w:hanging="0"/>
              <w:jc w:val="left"/>
              <w:rPr/>
            </w:pPr>
            <w:r>
              <w:rPr/>
              <w:t> </w:t>
            </w:r>
          </w:p>
        </w:tc>
        <w:tc>
          <w:tcPr>
            <w:tcW w:w="3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79</w:t>
            </w:r>
          </w:p>
        </w:tc>
        <w:tc>
          <w:tcPr>
            <w:tcW w:w="326" w:type="dxa"/>
            <w:tcBorders/>
            <w:shd w:fill="CCEEFF" w:val="clear"/>
            <w:vAlign w:val="center"/>
          </w:tcPr>
          <w:p>
            <w:pPr>
              <w:pStyle w:val="TableContents"/>
              <w:bidi w:val="0"/>
              <w:spacing w:before="0" w:after="0"/>
              <w:ind w:left="0" w:right="0" w:hanging="0"/>
              <w:jc w:val="left"/>
              <w:rPr/>
            </w:pPr>
            <w:r>
              <w:rPr/>
              <w:t> </w:t>
            </w:r>
          </w:p>
        </w:tc>
        <w:tc>
          <w:tcPr>
            <w:tcW w:w="2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58</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219</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2,004</w:t>
            </w:r>
          </w:p>
        </w:tc>
      </w:tr>
      <w:tr>
        <w:trPr/>
        <w:tc>
          <w:tcPr>
            <w:tcW w:w="12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Beginning balance January 1, 2025</w:t>
            </w:r>
          </w:p>
        </w:tc>
        <w:tc>
          <w:tcPr>
            <w:tcW w:w="32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48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1,074</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74</w:t>
            </w:r>
          </w:p>
        </w:tc>
        <w:tc>
          <w:tcPr>
            <w:tcW w:w="326" w:type="dxa"/>
            <w:tcBorders/>
            <w:vAlign w:val="center"/>
          </w:tcPr>
          <w:p>
            <w:pPr>
              <w:pStyle w:val="TableContents"/>
              <w:bidi w:val="0"/>
              <w:spacing w:before="0" w:after="0"/>
              <w:ind w:left="0" w:right="0" w:hanging="0"/>
              <w:jc w:val="left"/>
              <w:rPr/>
            </w:pPr>
            <w:r>
              <w:rPr/>
              <w:t> </w:t>
            </w:r>
          </w:p>
        </w:tc>
        <w:tc>
          <w:tcPr>
            <w:tcW w:w="304"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w:t>
            </w:r>
          </w:p>
        </w:tc>
        <w:tc>
          <w:tcPr>
            <w:tcW w:w="326" w:type="dxa"/>
            <w:tcBorders/>
            <w:vAlign w:val="center"/>
          </w:tcPr>
          <w:p>
            <w:pPr>
              <w:pStyle w:val="TableContents"/>
              <w:bidi w:val="0"/>
              <w:spacing w:before="0" w:after="0"/>
              <w:ind w:left="0" w:right="0" w:hanging="0"/>
              <w:jc w:val="left"/>
              <w:rPr/>
            </w:pPr>
            <w:r>
              <w:rPr/>
              <w:t> </w:t>
            </w:r>
          </w:p>
        </w:tc>
        <w:tc>
          <w:tcPr>
            <w:tcW w:w="304"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195</w:t>
            </w:r>
          </w:p>
        </w:tc>
        <w:tc>
          <w:tcPr>
            <w:tcW w:w="32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w:t>
            </w:r>
          </w:p>
        </w:tc>
        <w:tc>
          <w:tcPr>
            <w:tcW w:w="55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187</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436</w:t>
            </w:r>
          </w:p>
        </w:tc>
        <w:tc>
          <w:tcPr>
            <w:tcW w:w="32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107</w:t>
            </w:r>
          </w:p>
        </w:tc>
        <w:tc>
          <w:tcPr>
            <w:tcW w:w="32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2,126</w:t>
            </w:r>
          </w:p>
        </w:tc>
      </w:tr>
      <w:tr>
        <w:trPr/>
        <w:tc>
          <w:tcPr>
            <w:tcW w:w="12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Provision</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48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w:t>
            </w:r>
          </w:p>
        </w:tc>
        <w:tc>
          <w:tcPr>
            <w:tcW w:w="326" w:type="dxa"/>
            <w:tcBorders/>
            <w:shd w:fill="CCEEFF" w:val="clear"/>
            <w:vAlign w:val="center"/>
          </w:tcPr>
          <w:p>
            <w:pPr>
              <w:pStyle w:val="TableContents"/>
              <w:bidi w:val="0"/>
              <w:spacing w:before="0" w:after="0"/>
              <w:ind w:left="0" w:right="0" w:hanging="0"/>
              <w:jc w:val="left"/>
              <w:rPr/>
            </w:pPr>
            <w:r>
              <w:rPr/>
              <w:t> </w:t>
            </w:r>
          </w:p>
        </w:tc>
        <w:tc>
          <w:tcPr>
            <w:tcW w:w="304"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shd w:fill="CCEEFF" w:val="clear"/>
            <w:vAlign w:val="center"/>
          </w:tcPr>
          <w:p>
            <w:pPr>
              <w:pStyle w:val="TableContents"/>
              <w:bidi w:val="0"/>
              <w:spacing w:before="0" w:after="0"/>
              <w:ind w:left="0" w:right="0" w:hanging="0"/>
              <w:jc w:val="left"/>
              <w:rPr/>
            </w:pPr>
            <w:r>
              <w:rPr/>
              <w:t> </w:t>
            </w:r>
          </w:p>
        </w:tc>
        <w:tc>
          <w:tcPr>
            <w:tcW w:w="304"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232</w:t>
            </w:r>
          </w:p>
        </w:tc>
        <w:tc>
          <w:tcPr>
            <w:tcW w:w="326" w:type="dxa"/>
            <w:tcBorders/>
            <w:shd w:fill="CCEEFF" w:val="clear"/>
            <w:vAlign w:val="center"/>
          </w:tcPr>
          <w:p>
            <w:pPr>
              <w:pStyle w:val="TableContents"/>
              <w:bidi w:val="0"/>
              <w:spacing w:before="0" w:after="0"/>
              <w:ind w:left="0" w:right="0" w:hanging="0"/>
              <w:jc w:val="left"/>
              <w:rPr/>
            </w:pPr>
            <w:r>
              <w:rPr/>
              <w:t> </w:t>
            </w:r>
          </w:p>
        </w:tc>
        <w:tc>
          <w:tcPr>
            <w:tcW w:w="268" w:type="dxa"/>
            <w:tcBorders/>
            <w:shd w:fill="CCEEFF" w:val="clear"/>
            <w:vAlign w:val="center"/>
          </w:tcPr>
          <w:p>
            <w:pPr>
              <w:pStyle w:val="TableContents"/>
              <w:bidi w:val="0"/>
              <w:spacing w:before="0" w:after="0"/>
              <w:ind w:left="0" w:right="0" w:hanging="0"/>
              <w:jc w:val="left"/>
              <w:rPr/>
            </w:pPr>
            <w:r>
              <w:rPr/>
              <w:t>​</w:t>
            </w:r>
          </w:p>
        </w:tc>
        <w:tc>
          <w:tcPr>
            <w:tcW w:w="55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217</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405</w:t>
            </w:r>
          </w:p>
        </w:tc>
      </w:tr>
      <w:tr>
        <w:trPr/>
        <w:tc>
          <w:tcPr>
            <w:tcW w:w="12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Charge-offs</w:t>
            </w:r>
          </w:p>
        </w:tc>
        <w:tc>
          <w:tcPr>
            <w:tcW w:w="32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4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04"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04"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w:t>
            </w:r>
          </w:p>
        </w:tc>
        <w:tc>
          <w:tcPr>
            <w:tcW w:w="5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r>
      <w:tr>
        <w:trPr/>
        <w:tc>
          <w:tcPr>
            <w:tcW w:w="12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Recoveries</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w:t>
            </w:r>
          </w:p>
        </w:tc>
      </w:tr>
      <w:tr>
        <w:trPr/>
        <w:tc>
          <w:tcPr>
            <w:tcW w:w="12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Ending balance September 30, 2025</w:t>
            </w:r>
          </w:p>
        </w:tc>
        <w:tc>
          <w:tcPr>
            <w:tcW w:w="326" w:type="dxa"/>
            <w:tcBorders/>
            <w:vAlign w:val="center"/>
          </w:tcPr>
          <w:p>
            <w:pPr>
              <w:pStyle w:val="TableContents"/>
              <w:bidi w:val="0"/>
              <w:spacing w:before="0" w:after="0"/>
              <w:ind w:left="0" w:right="0" w:hanging="0"/>
              <w:jc w:val="left"/>
              <w:rPr/>
            </w:pPr>
            <w:r>
              <w:rPr/>
              <w:t>​</w:t>
            </w:r>
          </w:p>
        </w:tc>
        <w:tc>
          <w:tcPr>
            <w:tcW w:w="202"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4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1,114</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w:t>
            </w:r>
          </w:p>
        </w:tc>
        <w:tc>
          <w:tcPr>
            <w:tcW w:w="326" w:type="dxa"/>
            <w:tcBorders/>
            <w:vAlign w:val="center"/>
          </w:tcPr>
          <w:p>
            <w:pPr>
              <w:pStyle w:val="TableContents"/>
              <w:bidi w:val="0"/>
              <w:spacing w:before="0" w:after="0"/>
              <w:ind w:left="0" w:right="0" w:hanging="0"/>
              <w:jc w:val="left"/>
              <w:rPr/>
            </w:pPr>
            <w:r>
              <w:rPr/>
              <w:t> </w:t>
            </w:r>
          </w:p>
        </w:tc>
        <w:tc>
          <w:tcPr>
            <w:tcW w:w="304"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5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vAlign w:val="center"/>
          </w:tcPr>
          <w:p>
            <w:pPr>
              <w:pStyle w:val="TableContents"/>
              <w:bidi w:val="0"/>
              <w:spacing w:before="0" w:after="0"/>
              <w:ind w:left="0" w:right="0" w:hanging="0"/>
              <w:jc w:val="left"/>
              <w:rPr/>
            </w:pPr>
            <w:r>
              <w:rPr/>
              <w:t> </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w:t>
            </w:r>
          </w:p>
        </w:tc>
        <w:tc>
          <w:tcPr>
            <w:tcW w:w="326" w:type="dxa"/>
            <w:tcBorders/>
            <w:vAlign w:val="center"/>
          </w:tcPr>
          <w:p>
            <w:pPr>
              <w:pStyle w:val="TableContents"/>
              <w:bidi w:val="0"/>
              <w:spacing w:before="0" w:after="0"/>
              <w:ind w:left="0" w:right="0" w:hanging="0"/>
              <w:jc w:val="left"/>
              <w:rPr/>
            </w:pPr>
            <w:r>
              <w:rPr/>
              <w:t> </w:t>
            </w:r>
          </w:p>
        </w:tc>
        <w:tc>
          <w:tcPr>
            <w:tcW w:w="304"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58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427</w:t>
            </w:r>
          </w:p>
        </w:tc>
        <w:tc>
          <w:tcPr>
            <w:tcW w:w="326" w:type="dxa"/>
            <w:tcBorders/>
            <w:vAlign w:val="center"/>
          </w:tcPr>
          <w:p>
            <w:pPr>
              <w:pStyle w:val="TableContents"/>
              <w:bidi w:val="0"/>
              <w:spacing w:before="0" w:after="0"/>
              <w:ind w:left="0" w:right="0" w:hanging="0"/>
              <w:jc w:val="left"/>
              <w:rPr/>
            </w:pPr>
            <w:r>
              <w:rPr/>
              <w:t> </w:t>
            </w:r>
          </w:p>
        </w:tc>
        <w:tc>
          <w:tcPr>
            <w:tcW w:w="268"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5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157</w:t>
            </w:r>
          </w:p>
        </w:tc>
        <w:tc>
          <w:tcPr>
            <w:tcW w:w="326" w:type="dxa"/>
            <w:tcBorders/>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653</w:t>
            </w:r>
          </w:p>
        </w:tc>
        <w:tc>
          <w:tcPr>
            <w:tcW w:w="32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85</w:t>
            </w:r>
          </w:p>
        </w:tc>
        <w:tc>
          <w:tcPr>
            <w:tcW w:w="32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526" w:type="dxa"/>
            <w:tcBorders>
              <w:bottom w:val="double" w:sz="6" w:space="0" w:color="000000"/>
            </w:tcBorders>
            <w:tcMar>
              <w:bottom w:w="28" w:type="dxa"/>
            </w:tcM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2,547</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HOYNE SAVINGS, MHC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left"/>
        <w:rPr>
          <w:rFonts w:ascii="Times New Roman;Times;serif" w:hAnsi="Times New Roman;Times;serif"/>
          <w:b/>
          <w:sz w:val="20"/>
        </w:rPr>
      </w:pPr>
      <w:bookmarkStart w:id="807" w:name="Tc_XaatUWRLYUSn_21if3V3jQ_13_11"/>
      <w:bookmarkStart w:id="808" w:name="Tc_DnYuM2hCAUWCqhXAAjG7aA_13_8"/>
      <w:bookmarkStart w:id="809" w:name="Tc_XX9gcQTp9EuN5xR0nscy0A_13_5"/>
      <w:bookmarkStart w:id="810" w:name="Tc_mzc9JDs8HU-pRPqe_YU_ow_13_2"/>
      <w:bookmarkStart w:id="811" w:name="Tc_FWLVfZBnz0aKOaKQiTIxGQ_12_9"/>
      <w:bookmarkStart w:id="812" w:name="Tc_S7Onrzn1e0aKFIZqX8-21Q_12_0"/>
      <w:bookmarkStart w:id="813" w:name="Tc_tW6kaR6bHEaqZ3pa_AF56A_11_9"/>
      <w:bookmarkStart w:id="814" w:name="Tc_XffBLZgN-Eu_rleD7-d4TQ_11_6"/>
      <w:bookmarkStart w:id="815" w:name="Tc_hmEgxBU4IEy4ND39JJajDg_11_0"/>
      <w:bookmarkStart w:id="816" w:name="Tc_pp3nmM2IGUa-mkyiAM5eVA_10_9"/>
      <w:bookmarkStart w:id="817" w:name="Tc_yWb6BbmD2k61ZPLfz9Gg0A_10_6"/>
      <w:bookmarkStart w:id="818" w:name="Tc_Zi_YMstwJ0aNSipqLKkbMw_10_0"/>
      <w:bookmarkStart w:id="819" w:name="Tc_LNHUbHMTfEmk_ewozKYD5Q_9_9"/>
      <w:bookmarkStart w:id="820" w:name="Tc_puLKYSyre0yshqrcVQcLnQ_9_6"/>
      <w:bookmarkStart w:id="821" w:name="Tc_84AAA4Z30kySfkjMd-EpmQ_9_0"/>
      <w:bookmarkStart w:id="822" w:name="Tc_3cQu0sUsa0umhxXJiowh1A_8_12"/>
      <w:bookmarkStart w:id="823" w:name="Tc_avUBpDdGYEmw19g-jKDmHw_8_9"/>
      <w:bookmarkStart w:id="824" w:name="Tc_NS5eoLex4kuzNIa16i1tJg_8_6"/>
      <w:bookmarkStart w:id="825" w:name="Tc_mA08oaRybEWPBPadEBWBCg_8_3"/>
      <w:bookmarkStart w:id="826" w:name="Tc_NB2lIMjvnUa9s47n0Kafrw_8_0"/>
      <w:bookmarkStart w:id="827" w:name="Tc_jxi91QV-VUGmaKBW-QV25Q_7_0"/>
      <w:bookmarkStart w:id="828" w:name="Tc_9QRaA1-x2EKTLq3NAZ8isg_6_9"/>
      <w:bookmarkStart w:id="829" w:name="Tc_GCOOvl6Jhk6LpPtIb4HgSw_6_6"/>
      <w:bookmarkStart w:id="830" w:name="Tc_Qn627ZAK3UiOoR8uZEuYuA_6_0"/>
      <w:bookmarkStart w:id="831" w:name="Tc_1eJ5sJFpPEqD1z83IjW5Pw_5_0"/>
      <w:bookmarkStart w:id="832" w:name="Tc_pN85OcRzh0GepRnxKz5R8w_4_11"/>
      <w:bookmarkStart w:id="833" w:name="Tc_44cFA8nvm0OuxazGWR-zqQ_4_8"/>
      <w:bookmarkStart w:id="834" w:name="Tc_LwNoM4hGCUeb7b6WjfVd0A_4_5"/>
      <w:bookmarkStart w:id="835" w:name="Tc_cOxa0Wqr7EyWnwmMAKmodg_4_2"/>
      <w:bookmarkStart w:id="836" w:name="Tc_YsciZj3P5ECMrlYAY8qfLQ_4_0"/>
      <w:bookmarkStart w:id="837" w:name="Tc_UaUVugCfe0q8f3_NxETAFw_3_11"/>
      <w:bookmarkStart w:id="838" w:name="Tc_HPz1UT2XF0avbFqG2UdnXg_3_8"/>
      <w:bookmarkStart w:id="839" w:name="Tc_5ZR3MnJAMkC7jm8QoL4g0Q_3_5"/>
      <w:bookmarkStart w:id="840" w:name="Tc_8eXdqfIKkUSrqYBfR0wW4g_3_2"/>
      <w:bookmarkStart w:id="841" w:name="Tc_c1jHYVqIQ0ShuNSfujvtpw_3_0"/>
      <w:bookmarkStart w:id="842" w:name="Tc_7VrbmInVg0CW99ul2JcgYg_2_8"/>
      <w:bookmarkStart w:id="843" w:name="Tc_dNen8-TizkiPbqrZ0Q32Ig_2_5"/>
      <w:bookmarkStart w:id="844" w:name="Tc_tIKLKLBR90ObjSc_d2R-hQ_1_2"/>
      <w:bookmarkStart w:id="845" w:name="_c796614e_c982_40a6_85d6_6f473ec13c94"/>
      <w:bookmarkStart w:id="846" w:name="Tc_y0d5j0ghhUmzpr8bPd-4UQ_12_11"/>
      <w:bookmarkStart w:id="847" w:name="Tc_F0GgUcU0D0e411W7_essrA_12_8"/>
      <w:bookmarkStart w:id="848" w:name="Tc_yigXeotyxUy_fXPJBW8KsA_12_5"/>
      <w:bookmarkStart w:id="849" w:name="Tc_IqqAa0S9U0iNur-VQn2rOg_12_2"/>
      <w:bookmarkStart w:id="850" w:name="Tc_gEKnlTM4ZU-4D1haBHDDIA_11_9"/>
      <w:bookmarkStart w:id="851" w:name="Tc_KS7WjJCxAkaRIauCYPuitw_11_6"/>
      <w:bookmarkStart w:id="852" w:name="Tc_VYMs6A6lP0ineKv40Wpwzw_11_0"/>
      <w:bookmarkStart w:id="853" w:name="Tc_rWmgdBUzK0GVF3z4HRq_Zg_10_9"/>
      <w:bookmarkStart w:id="854" w:name="Tc_bAucWu6SikeZF63h_Y9cmg_10_6"/>
      <w:bookmarkStart w:id="855" w:name="Tc_uCk9tl1Gak-vLtmigQSKHQ_10_0"/>
      <w:bookmarkStart w:id="856" w:name="Tc_oEUVZ801g02lw37sBR5jnQ_9_9"/>
      <w:bookmarkStart w:id="857" w:name="Tc_ZkMoYQjDkEiMrIpuiT96EA_9_6"/>
      <w:bookmarkStart w:id="858" w:name="Tc_qRj6k8FDqEKs2wFD0lSjsw_9_0"/>
      <w:bookmarkStart w:id="859" w:name="Tc_1p_1Aye0vE2AZyRn4ZSWuA_8_9"/>
      <w:bookmarkStart w:id="860" w:name="Tc_HKXSxBoGq0iMcO4fvAN2Wg_8_6"/>
      <w:bookmarkStart w:id="861" w:name="Tc_ZqXwu-EJikuD9fZ9Jc0-PA_8_0"/>
      <w:bookmarkStart w:id="862" w:name="Tc_aAdiYWkg902ZiHyCOTP8Og_7_9"/>
      <w:bookmarkStart w:id="863" w:name="Tc_bBK4dX3WmE2CX_ppzRN_tg_7_0"/>
      <w:bookmarkStart w:id="864" w:name="Tc_09uvFZBwsEmifAV5DmiG1A_6_9"/>
      <w:bookmarkStart w:id="865" w:name="Tc_-FLbpKQGdUW-yjOVqJsluw_6_6"/>
      <w:bookmarkStart w:id="866" w:name="Tc_SLIIQ6O7DUqC3rVGC4-grw_6_0"/>
      <w:bookmarkStart w:id="867" w:name="Tc_H_5JvkZUzEO4kmYdo-_W2Q_5_0"/>
      <w:bookmarkStart w:id="868" w:name="Tc_q_C5hF5xSUSGAey3qeuFgQ_4_11"/>
      <w:bookmarkStart w:id="869" w:name="Tc__Wk2gjkyJUCgPh1jsPlskA_4_8"/>
      <w:bookmarkStart w:id="870" w:name="Tc_oIG2uE2rmkG1vsy7FPTXjw_4_5"/>
      <w:bookmarkStart w:id="871" w:name="Tc_zZ-1l-IR6UKP10Ea2uqnnA_4_2"/>
      <w:bookmarkStart w:id="872" w:name="Tc_Tyl4ZnqAl0u7gt9-FxIe5g_4_0"/>
      <w:bookmarkStart w:id="873" w:name="Tc_r0qIal8Qm0KyxeIxiE4FHg_3_11"/>
      <w:bookmarkStart w:id="874" w:name="Tc_qFpWm58cX0aY1GdEtNg-LQ_3_8"/>
      <w:bookmarkStart w:id="875" w:name="Tc_qKcOLcWT2kK6u1bpFMJdjA_3_5"/>
      <w:bookmarkStart w:id="876" w:name="Tc_KxgnkROShk6Os2ihjshXag_3_2"/>
      <w:bookmarkStart w:id="877" w:name="Tc_-EIL_XAyZ0abyebDIKm_1w_3_0"/>
      <w:bookmarkStart w:id="878" w:name="Tc_AgD3pUAW9UOMREJe70Xjag_2_8"/>
      <w:bookmarkStart w:id="879" w:name="Tc_WgWKcR8vK0GYP5b-0p2dKQ_2_5"/>
      <w:bookmarkStart w:id="880" w:name="Tc_Vql0BacKBUm6YhtRHWDHKw_1_2"/>
      <w:bookmarkStart w:id="881" w:name="_08bb3c8f_dbd4_4c04_b8c4_c7e0891bea53"/>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r>
        <w:rPr>
          <w:rFonts w:ascii="Times New Roman;Times;serif" w:hAnsi="Times New Roman;Times;serif"/>
          <w:b/>
          <w:i w:val="false"/>
          <w:caps w:val="false"/>
          <w:smallCaps w:val="false"/>
          <w:sz w:val="20"/>
        </w:rPr>
        <w:t>5.</w:t>
      </w:r>
      <w:r>
        <w:rPr>
          <w:rFonts w:ascii="Times New Roman;Times;serif" w:hAnsi="Times New Roman;Times;serif"/>
          <w:b/>
          <w:sz w:val="20"/>
        </w:rPr>
        <w:t>Loans Receivable (continued)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aging of loans receivable by class of receivable is as follows (in thousands):</w:t>
      </w:r>
    </w:p>
    <w:tbl>
      <w:tblPr>
        <w:tblW w:w="7447" w:type="dxa"/>
        <w:jc w:val="left"/>
        <w:tblInd w:w="0" w:type="dxa"/>
        <w:tblLayout w:type="fixed"/>
        <w:tblCellMar>
          <w:top w:w="0" w:type="dxa"/>
          <w:left w:w="0" w:type="dxa"/>
          <w:bottom w:w="0" w:type="dxa"/>
          <w:right w:w="0" w:type="dxa"/>
        </w:tblCellMar>
      </w:tblPr>
      <w:tblGrid>
        <w:gridCol w:w="2836"/>
        <w:gridCol w:w="326"/>
        <w:gridCol w:w="196"/>
        <w:gridCol w:w="691"/>
        <w:gridCol w:w="326"/>
        <w:gridCol w:w="196"/>
        <w:gridCol w:w="376"/>
        <w:gridCol w:w="326"/>
        <w:gridCol w:w="293"/>
        <w:gridCol w:w="563"/>
        <w:gridCol w:w="326"/>
        <w:gridCol w:w="196"/>
        <w:gridCol w:w="796"/>
      </w:tblGrid>
      <w:tr>
        <w:trPr/>
        <w:tc>
          <w:tcPr>
            <w:tcW w:w="2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800860" cy="175260"/>
                      <wp:effectExtent l="0" t="0" r="0" b="0"/>
                      <wp:wrapNone/>
                      <wp:docPr id="162" name="Frame161"/>
                      <a:graphic xmlns:a="http://schemas.openxmlformats.org/drawingml/2006/main">
                        <a:graphicData uri="http://schemas.microsoft.com/office/word/2010/wordprocessingShape">
                          <wps:wsp>
                            <wps:cNvSpPr txBox="1"/>
                            <wps:spPr>
                              <a:xfrm>
                                <a:off x="0" y="0"/>
                                <a:ext cx="1800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63" name="Frame1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24460" cy="175260"/>
                      <wp:effectExtent l="0" t="0" r="0" b="0"/>
                      <wp:wrapNone/>
                      <wp:docPr id="164" name="Frame16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438785" cy="175260"/>
                      <wp:effectExtent l="0" t="0" r="0" b="0"/>
                      <wp:wrapNone/>
                      <wp:docPr id="165" name="Frame16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66" name="Frame1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24460" cy="175260"/>
                      <wp:effectExtent l="0" t="0" r="0" b="0"/>
                      <wp:wrapNone/>
                      <wp:docPr id="167" name="Frame16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38760" cy="175260"/>
                      <wp:effectExtent l="0" t="0" r="0" b="0"/>
                      <wp:wrapNone/>
                      <wp:docPr id="168" name="Frame167"/>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9" name="Frame1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86055" cy="175260"/>
                      <wp:effectExtent l="0" t="0" r="0" b="0"/>
                      <wp:wrapNone/>
                      <wp:docPr id="170" name="Frame169"/>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357505" cy="175260"/>
                      <wp:effectExtent l="0" t="0" r="0" b="0"/>
                      <wp:wrapNone/>
                      <wp:docPr id="171" name="Frame170"/>
                      <a:graphic xmlns:a="http://schemas.openxmlformats.org/drawingml/2006/main">
                        <a:graphicData uri="http://schemas.microsoft.com/office/word/2010/wordprocessingShape">
                          <wps:wsp>
                            <wps:cNvSpPr txBox="1"/>
                            <wps:spPr>
                              <a:xfrm>
                                <a:off x="0" y="0"/>
                                <a:ext cx="357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7010" cy="175260"/>
                      <wp:effectExtent l="0" t="0" r="0" b="0"/>
                      <wp:wrapNone/>
                      <wp:docPr id="172" name="Frame1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24460" cy="175260"/>
                      <wp:effectExtent l="0" t="0" r="0" b="0"/>
                      <wp:wrapNone/>
                      <wp:docPr id="173" name="Frame17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505460" cy="175260"/>
                      <wp:effectExtent l="0" t="0" r="0" b="0"/>
                      <wp:wrapNone/>
                      <wp:docPr id="174" name="Frame17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36" w:type="dxa"/>
            <w:tcBorders/>
            <w:vAlign w:val="center"/>
          </w:tcPr>
          <w:p>
            <w:pPr>
              <w:pStyle w:val="TableContents"/>
              <w:bidi w:val="0"/>
              <w:spacing w:before="0" w:after="1"/>
              <w:ind w:left="0" w:right="0" w:hanging="0"/>
              <w:jc w:val="left"/>
              <w:rPr>
                <w:color w:val="231F20"/>
              </w:rPr>
            </w:pPr>
            <w:r>
              <w:rPr>
                <w:color w:val="231F20"/>
              </w:rPr>
              <w:t>​</w:t>
            </w:r>
          </w:p>
        </w:tc>
        <w:tc>
          <w:tcPr>
            <w:tcW w:w="326" w:type="dxa"/>
            <w:tcBorders/>
            <w:vAlign w:val="center"/>
          </w:tcPr>
          <w:p>
            <w:pPr>
              <w:pStyle w:val="TableContents"/>
              <w:bidi w:val="0"/>
              <w:spacing w:before="0" w:after="1"/>
              <w:ind w:left="0" w:right="0" w:hanging="0"/>
              <w:jc w:val="center"/>
              <w:rPr>
                <w:color w:val="231F20"/>
              </w:rPr>
            </w:pPr>
            <w:r>
              <w:rPr>
                <w:color w:val="231F20"/>
              </w:rPr>
              <w:t>​</w:t>
            </w:r>
          </w:p>
        </w:tc>
        <w:tc>
          <w:tcPr>
            <w:tcW w:w="4285"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September 30, 2025</w:t>
            </w:r>
          </w:p>
        </w:tc>
      </w:tr>
      <w:tr>
        <w:trPr/>
        <w:tc>
          <w:tcPr>
            <w:tcW w:w="2836" w:type="dxa"/>
            <w:tcBorders/>
            <w:vAlign w:val="center"/>
          </w:tcPr>
          <w:p>
            <w:pPr>
              <w:pStyle w:val="TableContents"/>
              <w:bidi w:val="0"/>
              <w:spacing w:before="0" w:after="1"/>
              <w:ind w:left="0" w:right="0" w:hanging="0"/>
              <w:jc w:val="left"/>
              <w:rPr>
                <w:color w:val="231F20"/>
              </w:rPr>
            </w:pPr>
            <w:r>
              <w:rPr>
                <w:color w:val="231F20"/>
              </w:rPr>
              <w:t>​</w:t>
            </w:r>
          </w:p>
        </w:tc>
        <w:tc>
          <w:tcPr>
            <w:tcW w:w="326" w:type="dxa"/>
            <w:tcBorders/>
            <w:vAlign w:val="center"/>
          </w:tcPr>
          <w:p>
            <w:pPr>
              <w:pStyle w:val="TableContents"/>
              <w:bidi w:val="0"/>
              <w:spacing w:before="0" w:after="1"/>
              <w:ind w:left="0" w:right="0" w:hanging="0"/>
              <w:jc w:val="center"/>
              <w:rPr>
                <w:color w:val="231F20"/>
              </w:rPr>
            </w:pPr>
            <w:r>
              <w:rPr>
                <w:color w:val="231F20"/>
              </w:rPr>
              <w:t>​</w:t>
            </w:r>
          </w:p>
        </w:tc>
        <w:tc>
          <w:tcPr>
            <w:tcW w:w="196" w:type="dxa"/>
            <w:tcBorders/>
            <w:vAlign w:val="center"/>
          </w:tcPr>
          <w:p>
            <w:pPr>
              <w:pStyle w:val="TableContents"/>
              <w:bidi w:val="0"/>
              <w:spacing w:before="0" w:after="1"/>
              <w:ind w:left="0" w:right="0" w:hanging="0"/>
              <w:jc w:val="left"/>
              <w:rPr>
                <w:color w:val="231F20"/>
              </w:rPr>
            </w:pPr>
            <w:r>
              <w:rPr>
                <w:color w:val="231F20"/>
              </w:rPr>
              <w:t>​</w:t>
            </w:r>
          </w:p>
        </w:tc>
        <w:tc>
          <w:tcPr>
            <w:tcW w:w="691" w:type="dxa"/>
            <w:tcBorders/>
            <w:vAlign w:val="center"/>
          </w:tcPr>
          <w:p>
            <w:pPr>
              <w:pStyle w:val="TableContents"/>
              <w:bidi w:val="0"/>
              <w:spacing w:before="0" w:after="1"/>
              <w:ind w:left="0" w:right="0" w:hanging="0"/>
              <w:jc w:val="center"/>
              <w:rPr>
                <w:color w:val="231F20"/>
              </w:rPr>
            </w:pPr>
            <w:r>
              <w:rPr>
                <w:color w:val="231F20"/>
              </w:rPr>
              <w:t>​</w:t>
            </w:r>
          </w:p>
        </w:tc>
        <w:tc>
          <w:tcPr>
            <w:tcW w:w="326" w:type="dxa"/>
            <w:tcBorders/>
            <w:vAlign w:val="center"/>
          </w:tcPr>
          <w:p>
            <w:pPr>
              <w:pStyle w:val="TableContents"/>
              <w:bidi w:val="0"/>
              <w:spacing w:before="0" w:after="1"/>
              <w:ind w:left="0" w:right="0" w:hanging="0"/>
              <w:jc w:val="center"/>
              <w:rPr>
                <w:color w:val="231F20"/>
              </w:rPr>
            </w:pPr>
            <w:r>
              <w:rPr>
                <w:color w:val="231F20"/>
              </w:rPr>
              <w:t>​</w:t>
            </w:r>
          </w:p>
        </w:tc>
        <w:tc>
          <w:tcPr>
            <w:tcW w:w="572" w:type="dxa"/>
            <w:gridSpan w:val="2"/>
            <w:tcBorders/>
            <w:vAlign w:val="center"/>
          </w:tcPr>
          <w:p>
            <w:pPr>
              <w:pStyle w:val="TableContents"/>
              <w:bidi w:val="0"/>
              <w:spacing w:before="0" w:after="1"/>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30 – 89</w:t>
            </w:r>
          </w:p>
        </w:tc>
        <w:tc>
          <w:tcPr>
            <w:tcW w:w="326" w:type="dxa"/>
            <w:tcBorders/>
            <w:vAlign w:val="center"/>
          </w:tcPr>
          <w:p>
            <w:pPr>
              <w:pStyle w:val="TableContents"/>
              <w:bidi w:val="0"/>
              <w:spacing w:before="0" w:after="1"/>
              <w:ind w:left="0" w:right="0" w:hanging="0"/>
              <w:jc w:val="center"/>
              <w:rPr>
                <w:color w:val="231F20"/>
              </w:rPr>
            </w:pPr>
            <w:r>
              <w:rPr>
                <w:color w:val="231F20"/>
              </w:rPr>
              <w:t>​</w:t>
            </w:r>
          </w:p>
        </w:tc>
        <w:tc>
          <w:tcPr>
            <w:tcW w:w="856" w:type="dxa"/>
            <w:gridSpan w:val="2"/>
            <w:tcBorders/>
            <w:vAlign w:val="center"/>
          </w:tcPr>
          <w:p>
            <w:pPr>
              <w:pStyle w:val="TableContents"/>
              <w:bidi w:val="0"/>
              <w:spacing w:before="0" w:after="1"/>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Non-Accrual</w:t>
            </w:r>
          </w:p>
        </w:tc>
        <w:tc>
          <w:tcPr>
            <w:tcW w:w="326" w:type="dxa"/>
            <w:tcBorders/>
            <w:vAlign w:val="center"/>
          </w:tcPr>
          <w:p>
            <w:pPr>
              <w:pStyle w:val="TableContents"/>
              <w:bidi w:val="0"/>
              <w:spacing w:before="0" w:after="1"/>
              <w:ind w:left="0" w:right="0" w:hanging="0"/>
              <w:jc w:val="center"/>
              <w:rPr>
                <w:color w:val="231F20"/>
              </w:rPr>
            </w:pPr>
            <w:r>
              <w:rPr>
                <w:color w:val="231F20"/>
              </w:rPr>
              <w:t>​</w:t>
            </w:r>
          </w:p>
        </w:tc>
        <w:tc>
          <w:tcPr>
            <w:tcW w:w="992" w:type="dxa"/>
            <w:gridSpan w:val="2"/>
            <w:tcBorders/>
            <w:vAlign w:val="center"/>
          </w:tcPr>
          <w:p>
            <w:pPr>
              <w:pStyle w:val="TableContents"/>
              <w:bidi w:val="0"/>
              <w:spacing w:before="0" w:after="1"/>
              <w:ind w:left="0" w:right="0" w:hanging="0"/>
              <w:jc w:val="center"/>
              <w:rPr>
                <w:color w:val="231F20"/>
              </w:rPr>
            </w:pPr>
            <w:r>
              <w:rPr>
                <w:color w:val="231F20"/>
              </w:rPr>
              <w:t>​</w:t>
            </w:r>
          </w:p>
        </w:tc>
      </w:tr>
      <w:tr>
        <w:trPr/>
        <w:tc>
          <w:tcPr>
            <w:tcW w:w="283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color w:val="231F20"/>
                <w:sz w:val="16"/>
              </w:rPr>
            </w:pPr>
            <w:r>
              <w:rPr>
                <w:rFonts w:ascii="Times New Roman;Times;serif" w:hAnsi="Times New Roman;Times;serif"/>
                <w:b/>
                <w:color w:val="231F20"/>
                <w:sz w:val="16"/>
              </w:rPr>
              <w:t>2025</w:t>
            </w:r>
          </w:p>
        </w:tc>
        <w:tc>
          <w:tcPr>
            <w:tcW w:w="326" w:type="dxa"/>
            <w:tcBorders/>
            <w:vAlign w:val="center"/>
          </w:tcPr>
          <w:p>
            <w:pPr>
              <w:pStyle w:val="TableContents"/>
              <w:bidi w:val="0"/>
              <w:spacing w:before="0" w:after="1"/>
              <w:ind w:left="0" w:right="0" w:hanging="0"/>
              <w:jc w:val="center"/>
              <w:rPr>
                <w:color w:val="231F20"/>
              </w:rPr>
            </w:pPr>
            <w:r>
              <w:rPr>
                <w:color w:val="231F20"/>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Current</w:t>
            </w:r>
          </w:p>
        </w:tc>
        <w:tc>
          <w:tcPr>
            <w:tcW w:w="326" w:type="dxa"/>
            <w:tcBorders/>
            <w:vAlign w:val="center"/>
          </w:tcPr>
          <w:p>
            <w:pPr>
              <w:pStyle w:val="TableContents"/>
              <w:bidi w:val="0"/>
              <w:spacing w:before="0" w:after="1"/>
              <w:ind w:left="0" w:right="0" w:hanging="0"/>
              <w:jc w:val="center"/>
              <w:rPr>
                <w:color w:val="231F20"/>
              </w:rPr>
            </w:pPr>
            <w:r>
              <w:rPr>
                <w:color w:val="231F20"/>
              </w:rPr>
              <w:t>​</w:t>
            </w:r>
          </w:p>
        </w:tc>
        <w:tc>
          <w:tcPr>
            <w:tcW w:w="5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days</w:t>
            </w:r>
          </w:p>
        </w:tc>
        <w:tc>
          <w:tcPr>
            <w:tcW w:w="326" w:type="dxa"/>
            <w:tcBorders/>
            <w:vAlign w:val="center"/>
          </w:tcPr>
          <w:p>
            <w:pPr>
              <w:pStyle w:val="TableContents"/>
              <w:bidi w:val="0"/>
              <w:spacing w:before="0" w:after="1"/>
              <w:ind w:left="0" w:right="0" w:hanging="0"/>
              <w:jc w:val="center"/>
              <w:rPr>
                <w:color w:val="231F20"/>
              </w:rPr>
            </w:pPr>
            <w:r>
              <w:rPr>
                <w:color w:val="231F20"/>
              </w:rPr>
              <w:t>​</w:t>
            </w:r>
          </w:p>
        </w:tc>
        <w:tc>
          <w:tcPr>
            <w:tcW w:w="8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90+ days</w:t>
            </w:r>
          </w:p>
        </w:tc>
        <w:tc>
          <w:tcPr>
            <w:tcW w:w="326" w:type="dxa"/>
            <w:tcBorders/>
            <w:vAlign w:val="center"/>
          </w:tcPr>
          <w:p>
            <w:pPr>
              <w:pStyle w:val="TableContents"/>
              <w:bidi w:val="0"/>
              <w:spacing w:before="0" w:after="1"/>
              <w:ind w:left="0" w:right="0" w:hanging="0"/>
              <w:jc w:val="center"/>
              <w:rPr>
                <w:color w:val="231F20"/>
              </w:rPr>
            </w:pPr>
            <w:r>
              <w:rPr>
                <w:color w:val="231F20"/>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Total</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6"/>
              </w:rPr>
            </w:pPr>
            <w:r>
              <w:rPr>
                <w:rFonts w:ascii="Times New Roman;Times;serif" w:hAnsi="Times New Roman;Times;serif"/>
                <w:color w:val="231F20"/>
                <w:sz w:val="16"/>
              </w:rPr>
              <w:t>First mortgage and home improvement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color w:val="231F20"/>
                <w:sz w:val="16"/>
              </w:rPr>
            </w:pPr>
            <w:r>
              <w:rPr>
                <w:rFonts w:ascii="Times New Roman;Times;serif" w:hAnsi="Times New Roman;Times;serif"/>
                <w:b/>
                <w:color w:val="231F20"/>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111,953</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color w:val="231F20"/>
                <w:sz w:val="16"/>
              </w:rPr>
            </w:pPr>
            <w:r>
              <w:rPr>
                <w:rFonts w:ascii="Times New Roman;Times;serif" w:hAnsi="Times New Roman;Times;serif"/>
                <w:b/>
                <w:color w:val="231F20"/>
                <w:sz w:val="16"/>
              </w:rPr>
              <w:t>$</w:t>
            </w:r>
          </w:p>
        </w:tc>
        <w:tc>
          <w:tcPr>
            <w:tcW w:w="376" w:type="dxa"/>
            <w:tcBorders/>
            <w:shd w:fill="CCEEFF" w:val="clear"/>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81</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293" w:type="dxa"/>
            <w:tcBorders/>
            <w:shd w:fill="CCEEFF" w:val="clear"/>
            <w:vAlign w:val="center"/>
          </w:tcPr>
          <w:p>
            <w:pPr>
              <w:pStyle w:val="TableContents"/>
              <w:bidi w:val="0"/>
              <w:spacing w:before="0" w:after="1"/>
              <w:ind w:left="0" w:right="0" w:hanging="0"/>
              <w:jc w:val="left"/>
              <w:rPr>
                <w:rFonts w:ascii="Times New Roman;Times;serif" w:hAnsi="Times New Roman;Times;serif"/>
                <w:b/>
                <w:color w:val="231F20"/>
                <w:sz w:val="16"/>
              </w:rPr>
            </w:pPr>
            <w:r>
              <w:rPr>
                <w:rFonts w:ascii="Times New Roman;Times;serif" w:hAnsi="Times New Roman;Times;serif"/>
                <w:b/>
                <w:color w:val="231F20"/>
                <w:sz w:val="16"/>
              </w:rPr>
              <w:t>$</w:t>
            </w:r>
          </w:p>
        </w:tc>
        <w:tc>
          <w:tcPr>
            <w:tcW w:w="563" w:type="dxa"/>
            <w:tcBorders/>
            <w:shd w:fill="CCEEFF" w:val="clear"/>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810</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color w:val="231F20"/>
                <w:sz w:val="16"/>
              </w:rPr>
            </w:pPr>
            <w:r>
              <w:rPr>
                <w:rFonts w:ascii="Times New Roman;Times;serif" w:hAnsi="Times New Roman;Times;serif"/>
                <w:b/>
                <w:color w:val="231F20"/>
                <w:sz w:val="16"/>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112,844</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color w:val="231F20"/>
                <w:sz w:val="16"/>
              </w:rPr>
            </w:pPr>
            <w:r>
              <w:rPr>
                <w:rFonts w:ascii="Times New Roman;Times;serif" w:hAnsi="Times New Roman;Times;serif"/>
                <w:color w:val="231F20"/>
                <w:sz w:val="16"/>
              </w:rPr>
              <w:t>Purchased and Participations</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196" w:type="dxa"/>
            <w:tcBorders/>
            <w:vAlign w:val="center"/>
          </w:tcPr>
          <w:p>
            <w:pPr>
              <w:pStyle w:val="TableContents"/>
              <w:bidi w:val="0"/>
              <w:spacing w:before="0" w:after="1"/>
              <w:ind w:left="0" w:right="0" w:hanging="0"/>
              <w:jc w:val="left"/>
              <w:rPr>
                <w:color w:val="231F20"/>
              </w:rPr>
            </w:pPr>
            <w:r>
              <w:rPr>
                <w:color w:val="231F20"/>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6,059</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196" w:type="dxa"/>
            <w:tcBorders/>
            <w:vAlign w:val="center"/>
          </w:tcPr>
          <w:p>
            <w:pPr>
              <w:pStyle w:val="TableContents"/>
              <w:bidi w:val="0"/>
              <w:spacing w:before="0" w:after="1"/>
              <w:ind w:left="0" w:right="0" w:hanging="0"/>
              <w:jc w:val="left"/>
              <w:rPr>
                <w:color w:val="231F20"/>
              </w:rPr>
            </w:pPr>
            <w:r>
              <w:rPr>
                <w:color w:val="231F20"/>
              </w:rPr>
              <w:t> </w:t>
            </w:r>
          </w:p>
        </w:tc>
        <w:tc>
          <w:tcPr>
            <w:tcW w:w="376" w:type="dxa"/>
            <w:tcBorders/>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10</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293" w:type="dxa"/>
            <w:tcBorders/>
            <w:vAlign w:val="center"/>
          </w:tcPr>
          <w:p>
            <w:pPr>
              <w:pStyle w:val="TableContents"/>
              <w:bidi w:val="0"/>
              <w:spacing w:before="0" w:after="1"/>
              <w:ind w:left="0" w:right="0" w:hanging="0"/>
              <w:jc w:val="left"/>
              <w:rPr>
                <w:color w:val="231F20"/>
              </w:rPr>
            </w:pPr>
            <w:r>
              <w:rPr>
                <w:color w:val="231F20"/>
              </w:rPr>
              <w:t> </w:t>
            </w:r>
          </w:p>
        </w:tc>
        <w:tc>
          <w:tcPr>
            <w:tcW w:w="563" w:type="dxa"/>
            <w:tcBorders/>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43</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196" w:type="dxa"/>
            <w:tcBorders/>
            <w:vAlign w:val="center"/>
          </w:tcPr>
          <w:p>
            <w:pPr>
              <w:pStyle w:val="TableContents"/>
              <w:bidi w:val="0"/>
              <w:spacing w:before="0" w:after="1"/>
              <w:ind w:left="0" w:right="0" w:hanging="0"/>
              <w:jc w:val="left"/>
              <w:rPr>
                <w:color w:val="231F20"/>
              </w:rPr>
            </w:pPr>
            <w:r>
              <w:rPr>
                <w:color w:val="231F20"/>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6,112</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6"/>
              </w:rPr>
            </w:pPr>
            <w:r>
              <w:rPr>
                <w:rFonts w:ascii="Times New Roman;Times;serif" w:hAnsi="Times New Roman;Times;serif"/>
                <w:color w:val="231F20"/>
                <w:sz w:val="16"/>
              </w:rPr>
              <w:t>Home improvement, first mortgage</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9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174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3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93" w:type="dxa"/>
            <w:tcBorders/>
            <w:shd w:fill="CCEEFF" w:val="clear"/>
            <w:vAlign w:val="center"/>
          </w:tcPr>
          <w:p>
            <w:pPr>
              <w:pStyle w:val="TableContents"/>
              <w:bidi w:val="0"/>
              <w:spacing w:before="0" w:after="1"/>
              <w:ind w:left="0" w:right="0" w:hanging="0"/>
              <w:jc w:val="left"/>
              <w:rPr/>
            </w:pPr>
            <w:r>
              <w:rPr/>
              <w:t> </w:t>
            </w:r>
          </w:p>
        </w:tc>
        <w:tc>
          <w:tcPr>
            <w:tcW w:w="56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9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174</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color w:val="231F20"/>
                <w:sz w:val="16"/>
              </w:rPr>
            </w:pPr>
            <w:r>
              <w:rPr>
                <w:rFonts w:ascii="Times New Roman;Times;serif" w:hAnsi="Times New Roman;Times;serif"/>
                <w:color w:val="231F20"/>
                <w:sz w:val="16"/>
              </w:rPr>
              <w:t>HELOCs</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196" w:type="dxa"/>
            <w:tcBorders/>
            <w:vAlign w:val="center"/>
          </w:tcPr>
          <w:p>
            <w:pPr>
              <w:pStyle w:val="TableContents"/>
              <w:bidi w:val="0"/>
              <w:spacing w:before="0" w:after="1"/>
              <w:ind w:left="0" w:right="0" w:hanging="0"/>
              <w:jc w:val="left"/>
              <w:rPr>
                <w:color w:val="231F20"/>
              </w:rPr>
            </w:pPr>
            <w:r>
              <w:rPr>
                <w:color w:val="231F20"/>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4,927</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196" w:type="dxa"/>
            <w:tcBorders/>
            <w:vAlign w:val="center"/>
          </w:tcPr>
          <w:p>
            <w:pPr>
              <w:pStyle w:val="TableContents"/>
              <w:bidi w:val="0"/>
              <w:spacing w:before="0" w:after="1"/>
              <w:ind w:left="0" w:right="0" w:hanging="0"/>
              <w:jc w:val="left"/>
              <w:rPr>
                <w:color w:val="231F20"/>
              </w:rPr>
            </w:pPr>
            <w:r>
              <w:rPr>
                <w:color w:val="231F20"/>
              </w:rPr>
              <w:t> </w:t>
            </w:r>
          </w:p>
        </w:tc>
        <w:tc>
          <w:tcPr>
            <w:tcW w:w="376" w:type="dxa"/>
            <w:tcBorders/>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100</w:t>
            </w:r>
          </w:p>
        </w:tc>
        <w:tc>
          <w:tcPr>
            <w:tcW w:w="326" w:type="dxa"/>
            <w:tcBorders/>
            <w:vAlign w:val="center"/>
          </w:tcPr>
          <w:p>
            <w:pPr>
              <w:pStyle w:val="TableContents"/>
              <w:bidi w:val="0"/>
              <w:spacing w:before="0" w:after="1"/>
              <w:ind w:left="0" w:right="0" w:hanging="0"/>
              <w:jc w:val="left"/>
              <w:rPr/>
            </w:pPr>
            <w:r>
              <w:rPr/>
              <w:t>​</w:t>
            </w:r>
          </w:p>
        </w:tc>
        <w:tc>
          <w:tcPr>
            <w:tcW w:w="293" w:type="dxa"/>
            <w:tcBorders/>
            <w:vAlign w:val="center"/>
          </w:tcPr>
          <w:p>
            <w:pPr>
              <w:pStyle w:val="TableContents"/>
              <w:bidi w:val="0"/>
              <w:spacing w:before="0" w:after="1"/>
              <w:ind w:left="0" w:right="0" w:hanging="0"/>
              <w:jc w:val="left"/>
              <w:rPr/>
            </w:pPr>
            <w:r>
              <w:rPr/>
              <w:t> </w:t>
            </w:r>
          </w:p>
        </w:tc>
        <w:tc>
          <w:tcPr>
            <w:tcW w:w="56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196" w:type="dxa"/>
            <w:tcBorders/>
            <w:vAlign w:val="center"/>
          </w:tcPr>
          <w:p>
            <w:pPr>
              <w:pStyle w:val="TableContents"/>
              <w:bidi w:val="0"/>
              <w:spacing w:before="0" w:after="1"/>
              <w:ind w:left="0" w:right="0" w:hanging="0"/>
              <w:jc w:val="left"/>
              <w:rPr>
                <w:color w:val="231F20"/>
              </w:rPr>
            </w:pPr>
            <w:r>
              <w:rPr>
                <w:color w:val="231F20"/>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5,027</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6"/>
              </w:rPr>
            </w:pPr>
            <w:r>
              <w:rPr>
                <w:rFonts w:ascii="Times New Roman;Times;serif" w:hAnsi="Times New Roman;Times;serif"/>
                <w:color w:val="231F20"/>
                <w:sz w:val="16"/>
              </w:rPr>
              <w:t>Commercial &amp; Industrial</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9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15,920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93" w:type="dxa"/>
            <w:tcBorders/>
            <w:shd w:fill="CCEEFF" w:val="clear"/>
            <w:vAlign w:val="center"/>
          </w:tcPr>
          <w:p>
            <w:pPr>
              <w:pStyle w:val="TableContents"/>
              <w:bidi w:val="0"/>
              <w:spacing w:before="0" w:after="1"/>
              <w:ind w:left="0" w:right="0" w:hanging="0"/>
              <w:jc w:val="left"/>
              <w:rPr/>
            </w:pPr>
            <w:r>
              <w:rPr/>
              <w:t> </w:t>
            </w:r>
          </w:p>
        </w:tc>
        <w:tc>
          <w:tcPr>
            <w:tcW w:w="56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9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15,920</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color w:val="231F20"/>
                <w:sz w:val="16"/>
              </w:rPr>
            </w:pPr>
            <w:r>
              <w:rPr>
                <w:rFonts w:ascii="Times New Roman;Times;serif" w:hAnsi="Times New Roman;Times;serif"/>
                <w:color w:val="231F20"/>
                <w:sz w:val="16"/>
              </w:rPr>
              <w:t>Commercial real estate</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196" w:type="dxa"/>
            <w:tcBorders/>
            <w:vAlign w:val="center"/>
          </w:tcPr>
          <w:p>
            <w:pPr>
              <w:pStyle w:val="TableContents"/>
              <w:bidi w:val="0"/>
              <w:spacing w:before="0" w:after="1"/>
              <w:ind w:left="0" w:right="0" w:hanging="0"/>
              <w:jc w:val="left"/>
              <w:rPr>
                <w:color w:val="231F20"/>
              </w:rPr>
            </w:pPr>
            <w:r>
              <w:rPr>
                <w:color w:val="231F20"/>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66,180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3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93" w:type="dxa"/>
            <w:tcBorders/>
            <w:vAlign w:val="center"/>
          </w:tcPr>
          <w:p>
            <w:pPr>
              <w:pStyle w:val="TableContents"/>
              <w:bidi w:val="0"/>
              <w:spacing w:before="0" w:after="1"/>
              <w:ind w:left="0" w:right="0" w:hanging="0"/>
              <w:jc w:val="left"/>
              <w:rPr/>
            </w:pPr>
            <w:r>
              <w:rPr/>
              <w:t> </w:t>
            </w:r>
          </w:p>
        </w:tc>
        <w:tc>
          <w:tcPr>
            <w:tcW w:w="56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196" w:type="dxa"/>
            <w:tcBorders/>
            <w:vAlign w:val="center"/>
          </w:tcPr>
          <w:p>
            <w:pPr>
              <w:pStyle w:val="TableContents"/>
              <w:bidi w:val="0"/>
              <w:spacing w:before="0" w:after="1"/>
              <w:ind w:left="0" w:right="0" w:hanging="0"/>
              <w:jc w:val="left"/>
              <w:rPr>
                <w:color w:val="231F20"/>
              </w:rPr>
            </w:pPr>
            <w:r>
              <w:rPr>
                <w:color w:val="231F20"/>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66,180</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6"/>
              </w:rPr>
            </w:pPr>
            <w:r>
              <w:rPr>
                <w:rFonts w:ascii="Times New Roman;Times;serif" w:hAnsi="Times New Roman;Times;serif"/>
                <w:color w:val="231F20"/>
                <w:sz w:val="16"/>
              </w:rPr>
              <w:t>Commercial construction</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9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43,273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3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93" w:type="dxa"/>
            <w:tcBorders/>
            <w:shd w:fill="CCEEFF" w:val="clear"/>
            <w:vAlign w:val="center"/>
          </w:tcPr>
          <w:p>
            <w:pPr>
              <w:pStyle w:val="TableContents"/>
              <w:bidi w:val="0"/>
              <w:spacing w:before="0" w:after="1"/>
              <w:ind w:left="0" w:right="0" w:hanging="0"/>
              <w:jc w:val="left"/>
              <w:rPr/>
            </w:pPr>
            <w:r>
              <w:rPr/>
              <w:t> </w:t>
            </w:r>
          </w:p>
        </w:tc>
        <w:tc>
          <w:tcPr>
            <w:tcW w:w="56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9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43,273</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color w:val="231F20"/>
                <w:sz w:val="16"/>
              </w:rPr>
            </w:pPr>
            <w:r>
              <w:rPr>
                <w:rFonts w:ascii="Times New Roman;Times;serif" w:hAnsi="Times New Roman;Times;serif"/>
                <w:color w:val="231F20"/>
                <w:sz w:val="16"/>
              </w:rPr>
              <w:t>Commercial LOC</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8,574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9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6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8,574</w:t>
            </w:r>
          </w:p>
        </w:tc>
      </w:tr>
      <w:tr>
        <w:trPr/>
        <w:tc>
          <w:tcPr>
            <w:tcW w:w="283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color w:val="231F20"/>
                <w:sz w:val="16"/>
              </w:rPr>
            </w:pPr>
            <w:r>
              <w:rPr>
                <w:rFonts w:ascii="Times New Roman;Times;serif" w:hAnsi="Times New Roman;Times;serif"/>
                <w:b/>
                <w:color w:val="231F20"/>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257,060</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color w:val="231F20"/>
                <w:sz w:val="16"/>
              </w:rPr>
            </w:pPr>
            <w:r>
              <w:rPr>
                <w:rFonts w:ascii="Times New Roman;Times;serif" w:hAnsi="Times New Roman;Times;serif"/>
                <w:b/>
                <w:color w:val="231F20"/>
                <w:sz w:val="16"/>
              </w:rPr>
              <w:t>$</w:t>
            </w:r>
          </w:p>
        </w:tc>
        <w:tc>
          <w:tcPr>
            <w:tcW w:w="3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191</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9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color w:val="231F20"/>
                <w:sz w:val="16"/>
              </w:rPr>
            </w:pPr>
            <w:r>
              <w:rPr>
                <w:rFonts w:ascii="Times New Roman;Times;serif" w:hAnsi="Times New Roman;Times;serif"/>
                <w:b/>
                <w:color w:val="231F20"/>
                <w:sz w:val="16"/>
              </w:rPr>
              <w:t>$</w:t>
            </w:r>
          </w:p>
        </w:tc>
        <w:tc>
          <w:tcPr>
            <w:tcW w:w="56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853</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color w:val="231F20"/>
                <w:sz w:val="16"/>
              </w:rPr>
            </w:pPr>
            <w:r>
              <w:rPr>
                <w:rFonts w:ascii="Times New Roman;Times;serif" w:hAnsi="Times New Roman;Times;serif"/>
                <w:b/>
                <w:color w:val="231F20"/>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color w:val="231F20"/>
                <w:sz w:val="16"/>
              </w:rPr>
            </w:pPr>
            <w:r>
              <w:rPr>
                <w:rFonts w:ascii="Times New Roman;Times;serif" w:hAnsi="Times New Roman;Times;serif"/>
                <w:b/>
                <w:color w:val="231F20"/>
                <w:sz w:val="16"/>
              </w:rPr>
              <w:t>258,104</w:t>
            </w:r>
          </w:p>
        </w:tc>
      </w:tr>
    </w:tbl>
    <w:p>
      <w:pPr>
        <w:pStyle w:val="TextBody"/>
        <w:bidi w:val="0"/>
        <w:spacing w:before="0" w:after="240"/>
        <w:ind w:left="0" w:right="0" w:hanging="0"/>
        <w:jc w:val="left"/>
        <w:rPr/>
      </w:pPr>
      <w:r>
        <w:rPr/>
        <w:t>​</w:t>
      </w:r>
    </w:p>
    <w:tbl>
      <w:tblPr>
        <w:tblW w:w="7447" w:type="dxa"/>
        <w:jc w:val="left"/>
        <w:tblInd w:w="0" w:type="dxa"/>
        <w:tblLayout w:type="fixed"/>
        <w:tblCellMar>
          <w:top w:w="0" w:type="dxa"/>
          <w:left w:w="0" w:type="dxa"/>
          <w:bottom w:w="0" w:type="dxa"/>
          <w:right w:w="0" w:type="dxa"/>
        </w:tblCellMar>
      </w:tblPr>
      <w:tblGrid>
        <w:gridCol w:w="2836"/>
        <w:gridCol w:w="326"/>
        <w:gridCol w:w="196"/>
        <w:gridCol w:w="691"/>
        <w:gridCol w:w="326"/>
        <w:gridCol w:w="196"/>
        <w:gridCol w:w="376"/>
        <w:gridCol w:w="326"/>
        <w:gridCol w:w="237"/>
        <w:gridCol w:w="619"/>
        <w:gridCol w:w="326"/>
        <w:gridCol w:w="196"/>
        <w:gridCol w:w="796"/>
      </w:tblGrid>
      <w:tr>
        <w:trPr/>
        <w:tc>
          <w:tcPr>
            <w:tcW w:w="2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800860" cy="175260"/>
                      <wp:effectExtent l="0" t="0" r="0" b="0"/>
                      <wp:wrapNone/>
                      <wp:docPr id="175" name="Frame174"/>
                      <a:graphic xmlns:a="http://schemas.openxmlformats.org/drawingml/2006/main">
                        <a:graphicData uri="http://schemas.microsoft.com/office/word/2010/wordprocessingShape">
                          <wps:wsp>
                            <wps:cNvSpPr txBox="1"/>
                            <wps:spPr>
                              <a:xfrm>
                                <a:off x="0" y="0"/>
                                <a:ext cx="1800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76" name="Frame1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24460" cy="175260"/>
                      <wp:effectExtent l="0" t="0" r="0" b="0"/>
                      <wp:wrapNone/>
                      <wp:docPr id="177" name="Frame17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438785" cy="175260"/>
                      <wp:effectExtent l="0" t="0" r="0" b="0"/>
                      <wp:wrapNone/>
                      <wp:docPr id="178" name="Frame17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79" name="Frame1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24460" cy="175260"/>
                      <wp:effectExtent l="0" t="0" r="0" b="0"/>
                      <wp:wrapNone/>
                      <wp:docPr id="180" name="Frame17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38760" cy="175260"/>
                      <wp:effectExtent l="0" t="0" r="0" b="0"/>
                      <wp:wrapNone/>
                      <wp:docPr id="181" name="Frame180"/>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82" name="Frame1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50495" cy="175260"/>
                      <wp:effectExtent l="0" t="0" r="0" b="0"/>
                      <wp:wrapNone/>
                      <wp:docPr id="183" name="Frame182"/>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393065" cy="175260"/>
                      <wp:effectExtent l="0" t="0" r="0" b="0"/>
                      <wp:wrapNone/>
                      <wp:docPr id="184" name="Frame183"/>
                      <a:graphic xmlns:a="http://schemas.openxmlformats.org/drawingml/2006/main">
                        <a:graphicData uri="http://schemas.microsoft.com/office/word/2010/wordprocessingShape">
                          <wps:wsp>
                            <wps:cNvSpPr txBox="1"/>
                            <wps:spPr>
                              <a:xfrm>
                                <a:off x="0" y="0"/>
                                <a:ext cx="393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85" name="Frame1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24460" cy="175260"/>
                      <wp:effectExtent l="0" t="0" r="0" b="0"/>
                      <wp:wrapNone/>
                      <wp:docPr id="186" name="Frame18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505460" cy="175260"/>
                      <wp:effectExtent l="0" t="0" r="0" b="0"/>
                      <wp:wrapNone/>
                      <wp:docPr id="187" name="Frame18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285"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December 31, 2024</w:t>
            </w:r>
          </w:p>
        </w:tc>
      </w:tr>
      <w:tr>
        <w:trPr/>
        <w:tc>
          <w:tcPr>
            <w:tcW w:w="28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57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30 – 89</w:t>
            </w:r>
          </w:p>
        </w:tc>
        <w:tc>
          <w:tcPr>
            <w:tcW w:w="326" w:type="dxa"/>
            <w:tcBorders/>
            <w:vAlign w:val="center"/>
          </w:tcPr>
          <w:p>
            <w:pPr>
              <w:pStyle w:val="TableContents"/>
              <w:bidi w:val="0"/>
              <w:spacing w:before="0" w:after="0"/>
              <w:ind w:left="0" w:right="0" w:hanging="0"/>
              <w:jc w:val="center"/>
              <w:rPr/>
            </w:pPr>
            <w:r>
              <w:rPr/>
              <w:t>​</w:t>
            </w:r>
          </w:p>
        </w:tc>
        <w:tc>
          <w:tcPr>
            <w:tcW w:w="85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Non-Accrual</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r>
      <w:tr>
        <w:trPr/>
        <w:tc>
          <w:tcPr>
            <w:tcW w:w="28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Current</w:t>
            </w:r>
          </w:p>
        </w:tc>
        <w:tc>
          <w:tcPr>
            <w:tcW w:w="326" w:type="dxa"/>
            <w:tcBorders/>
            <w:vAlign w:val="center"/>
          </w:tcPr>
          <w:p>
            <w:pPr>
              <w:pStyle w:val="TableContents"/>
              <w:bidi w:val="0"/>
              <w:spacing w:before="0" w:after="0"/>
              <w:ind w:left="0" w:right="0" w:hanging="0"/>
              <w:jc w:val="center"/>
              <w:rPr/>
            </w:pPr>
            <w:r>
              <w:rPr/>
              <w:t>    </w:t>
            </w:r>
          </w:p>
        </w:tc>
        <w:tc>
          <w:tcPr>
            <w:tcW w:w="5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days</w:t>
            </w:r>
          </w:p>
        </w:tc>
        <w:tc>
          <w:tcPr>
            <w:tcW w:w="326" w:type="dxa"/>
            <w:tcBorders/>
            <w:vAlign w:val="center"/>
          </w:tcPr>
          <w:p>
            <w:pPr>
              <w:pStyle w:val="TableContents"/>
              <w:bidi w:val="0"/>
              <w:spacing w:before="0" w:after="0"/>
              <w:ind w:left="0" w:right="0" w:hanging="0"/>
              <w:jc w:val="center"/>
              <w:rPr/>
            </w:pPr>
            <w:r>
              <w:rPr/>
              <w:t>    </w:t>
            </w:r>
          </w:p>
        </w:tc>
        <w:tc>
          <w:tcPr>
            <w:tcW w:w="8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90+ days</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First mortgage and home improvement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123,739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125,345</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Purchased and Participations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8,664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8,712</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Home improvement, first mortgage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 </w:t>
            </w:r>
          </w:p>
        </w:tc>
        <w:tc>
          <w:tcPr>
            <w:tcW w:w="61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HELOCs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5,836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6,050</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Construction, first mortgage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 </w:t>
            </w:r>
          </w:p>
        </w:tc>
        <w:tc>
          <w:tcPr>
            <w:tcW w:w="61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Commercial &amp; Industrial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21,769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21,769</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Commercial real estate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50,844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 </w:t>
            </w:r>
          </w:p>
        </w:tc>
        <w:tc>
          <w:tcPr>
            <w:tcW w:w="61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50,844</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Commercial construction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22,759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61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22,759</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LOC</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12,531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12,531</w:t>
            </w:r>
          </w:p>
        </w:tc>
      </w:tr>
      <w:tr>
        <w:trPr/>
        <w:tc>
          <w:tcPr>
            <w:tcW w:w="28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246,337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w:t>
            </w:r>
          </w:p>
        </w:tc>
        <w:tc>
          <w:tcPr>
            <w:tcW w:w="326" w:type="dxa"/>
            <w:tcBorders/>
            <w:vAlign w:val="center"/>
          </w:tcPr>
          <w:p>
            <w:pPr>
              <w:pStyle w:val="TableContents"/>
              <w:bidi w:val="0"/>
              <w:spacing w:before="0" w:after="0"/>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248,205</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were no loans that were 90+ days past due and accruing interest at September 30, 2025 and December 31, 2024. As of September 30, 2025 and December 31, 2024, no non-accrual loans had a related allowance. No material accrued interest was written off by reversing interest income during the nine months ended September 30, 2025 or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When, for economic or legal reasons related to the borrower’s financial difficulties, the Bank grants a concession to the borrower that the Bank would not otherwise consider, the modified loan is classified as a troubled loan modification (TLM). Troubled loan modifications may consist of forgiveness of interest and/or principal, a reduction of the interest rate, interest-only payments for a period of time, and/or extending amortization terms. There were no new troubled loan modifications in the nine months ended September 30, 2025 or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Bank considers a troubled loan modification in default if it becomes past due more than 30 days. No troubled loan modifications defaulted within 12 months of their modification date during the nine months ended September 30, 2025 or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were no significant changes in the extent to which collateral secured our collateral dependent loans as of September 30, 2025 and December 31, 2024. At September 30, 2025 and December 31, 2024 we had approximately $270,000 and $249,000, respectively of collateral dependent loans without an allowance and no collateral dependent loans with an allowance.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Bank has no commitments to loan additional funds to the borrowers whose loans have been determined to be collateral dependent.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HOYNE SAVINGS, MHC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left"/>
        <w:rPr>
          <w:rFonts w:ascii="Times New Roman;Times;serif" w:hAnsi="Times New Roman;Times;serif"/>
          <w:b/>
          <w:sz w:val="20"/>
        </w:rPr>
      </w:pPr>
      <w:bookmarkStart w:id="882" w:name="Tc_Gn3xulpxjkeFS4riC9HkEg_42_24"/>
      <w:bookmarkStart w:id="883" w:name="Tc_tkZec3-XG0-9bT9cY97YvQ_42_23"/>
      <w:bookmarkStart w:id="884" w:name="Tc_OPwFBIo6d0SqQ0aT1l-cDA_42_21"/>
      <w:bookmarkStart w:id="885" w:name="Tc_HAHO8tXkLE6FhMtnxippdQ_42_20"/>
      <w:bookmarkStart w:id="886" w:name="Tc_h53lW86vykujffDXw89k6A_42_18"/>
      <w:bookmarkStart w:id="887" w:name="Tc_891ZiHi-V0K8ePyCywER0g_42_17"/>
      <w:bookmarkStart w:id="888" w:name="Tc_XO0IshpREEitWux5ereOHg_42_15"/>
      <w:bookmarkStart w:id="889" w:name="Tc_0NY3Xmwk4UGHVfuofiKmjA_42_14"/>
      <w:bookmarkStart w:id="890" w:name="Tc_7-a7r9rXCEO3hzbcgpgXhg_42_12"/>
      <w:bookmarkStart w:id="891" w:name="Tc_pQAzf4J6E0auY9Isc5bdHA_42_11"/>
      <w:bookmarkStart w:id="892" w:name="Tc_VAeT-vveik2QN4jkaFGojw_42_9"/>
      <w:bookmarkStart w:id="893" w:name="Tc_tx3yFXFxgUm8ffeKGmE68w_42_8"/>
      <w:bookmarkStart w:id="894" w:name="Tc_hmBkAVO2ukSkAwhxy9u_Ig_42_6"/>
      <w:bookmarkStart w:id="895" w:name="Tc_8Kd4jBtomEmfvGlCh9oCTQ_42_5"/>
      <w:bookmarkStart w:id="896" w:name="Tc_huMgpPYgU0yHWZdwHkD12A_42_3"/>
      <w:bookmarkStart w:id="897" w:name="Tc_wV22TYS24E2krKXywM4t6g_42_2"/>
      <w:bookmarkStart w:id="898" w:name="Tc_0MIJRre24UWBeJskfzcbxg_42_0"/>
      <w:bookmarkStart w:id="899" w:name="Tc_W_yM2AQPXEWbGclIyJdUcA_41_24"/>
      <w:bookmarkStart w:id="900" w:name="Tc_nqKCr22hVkeRMF4gQEKTBA_41_21"/>
      <w:bookmarkStart w:id="901" w:name="Tc_Ex1P-lDMT06qqy3GfWSLIg_41_18"/>
      <w:bookmarkStart w:id="902" w:name="Tc_sFDW5yRExkCVN8lepKGNow_41_15"/>
      <w:bookmarkStart w:id="903" w:name="Tc_p_PRKaKBSU6OObnKHb4gvw_41_12"/>
      <w:bookmarkStart w:id="904" w:name="Tc_QIgZD-94mE2KbdAKWycfyA_41_9"/>
      <w:bookmarkStart w:id="905" w:name="Tc_e5FVs993FUip39Abn7QEBw_41_6"/>
      <w:bookmarkStart w:id="906" w:name="Tc_9vAOCLwQT0egY74ubM-Xgg_41_3"/>
      <w:bookmarkStart w:id="907" w:name="Tc_EkM-TPq3wk-4g1Bu1yRCGQ_41_0"/>
      <w:bookmarkStart w:id="908" w:name="Tc_4o0e7I1_XEaTTs_wF3mONw_40_24"/>
      <w:bookmarkStart w:id="909" w:name="Tc_HA0D9KSvAUSfEl2QbbsE6Q_40_21"/>
      <w:bookmarkStart w:id="910" w:name="Tc_-jj_gHc5dkqIdOSk4diL3g_40_18"/>
      <w:bookmarkStart w:id="911" w:name="Tc_Eb3HO3vwOEeVKkxfddH6Zw_40_15"/>
      <w:bookmarkStart w:id="912" w:name="Tc_Ck7iheGCWUyYAC8Dy7v7WA_40_12"/>
      <w:bookmarkStart w:id="913" w:name="Tc_nfc0zh4OjEawCf4THIyO9g_40_9"/>
      <w:bookmarkStart w:id="914" w:name="Tc_lwp5MEIU3UeHOut0tNTBSQ_40_6"/>
      <w:bookmarkStart w:id="915" w:name="Tc_8KOEX7-Zd02hLDD6426nIQ_40_3"/>
      <w:bookmarkStart w:id="916" w:name="Tc_4Omcq_VXJ0ipbvI1Pirxvw_40_0"/>
      <w:bookmarkStart w:id="917" w:name="Tc_VcRskqFqMUWht144p_SJdA_39_24"/>
      <w:bookmarkStart w:id="918" w:name="Tc_-6gLvIOwNESwgywKEgalVA_39_21"/>
      <w:bookmarkStart w:id="919" w:name="Tc_DovBRHRIuECta151YhaYBg_39_18"/>
      <w:bookmarkStart w:id="920" w:name="Tc_YyXrJJyRAk6jFi7WJltdSA_39_15"/>
      <w:bookmarkStart w:id="921" w:name="Tc_4OLyTf5UcEycCX6Uv_mAfg_39_12"/>
      <w:bookmarkStart w:id="922" w:name="Tc_UCrlY7ebv0musLvVBo-FOw_39_9"/>
      <w:bookmarkStart w:id="923" w:name="Tc_wGEeuPpQGkizIWq6IQMFPg_39_6"/>
      <w:bookmarkStart w:id="924" w:name="Tc_kSpvkb2o0EasDAsTtkqfkw_39_3"/>
      <w:bookmarkStart w:id="925" w:name="Tc_344SySdTKE25DfUJzrLSkA_39_0"/>
      <w:bookmarkStart w:id="926" w:name="Tc_WUya2u2FfE2K5_X5OJZfZQ_38_24"/>
      <w:bookmarkStart w:id="927" w:name="Tc_5w4eWvtG1Ey3PlVFL6RF_Q_38_21"/>
      <w:bookmarkStart w:id="928" w:name="Tc_ehGWjbYP0UihNdv0R_Qc0w_38_18"/>
      <w:bookmarkStart w:id="929" w:name="Tc_2ZcYh1ilUEquK57-PBpONQ_38_15"/>
      <w:bookmarkStart w:id="930" w:name="Tc_RVYX9Iv4BUymOg5wsRJ3vQ_38_12"/>
      <w:bookmarkStart w:id="931" w:name="Tc_IPkDTb2w_023egbZKA55TQ_38_9"/>
      <w:bookmarkStart w:id="932" w:name="Tc_Da_n5jbiCk2j20Nqea8haw_38_6"/>
      <w:bookmarkStart w:id="933" w:name="Tc_ZxXmP4kI_kOlqBUYcvnhRA_38_3"/>
      <w:bookmarkStart w:id="934" w:name="Tc_leZhB6XhvE2L2IJaq8BKAA_38_0"/>
      <w:bookmarkStart w:id="935" w:name="Tc_IHkyAOpQnkepKCglpM66Qw_37_24"/>
      <w:bookmarkStart w:id="936" w:name="Tc_lWsM4sbEZkWWJhNG_3Bt7w_37_21"/>
      <w:bookmarkStart w:id="937" w:name="Tc_2f4VEF_edE2fIzGqBTXlxg_37_18"/>
      <w:bookmarkStart w:id="938" w:name="Tc_OEjSKYMR_UqktPIp7g1mew_37_15"/>
      <w:bookmarkStart w:id="939" w:name="Tc_q85xfaGkA0GCXL8p5TmLGA_37_12"/>
      <w:bookmarkStart w:id="940" w:name="Tc_msxr5rksdUeJLKoPF7ADxg_37_9"/>
      <w:bookmarkStart w:id="941" w:name="Tc_8N5y_BFOtkqvt0zZfN4cfg_37_6"/>
      <w:bookmarkStart w:id="942" w:name="Tc_racH3ZmeH0GR3rKz7UHRCA_37_3"/>
      <w:bookmarkStart w:id="943" w:name="Tc_nQbsl8fmmUS9NwqFLeGAUw_37_0"/>
      <w:bookmarkStart w:id="944" w:name="Tc_Awp_FH3BEE2ovxIOPsXOTA_36_24"/>
      <w:bookmarkStart w:id="945" w:name="Tc_JU85K_4F-UurYRIG4A_9Dw_36_21"/>
      <w:bookmarkStart w:id="946" w:name="Tc_oJsVU-VQk0qgYkYPggLYZA_36_18"/>
      <w:bookmarkStart w:id="947" w:name="Tc_GlGBXP_UMUqHpbywftu1Jw_36_15"/>
      <w:bookmarkStart w:id="948" w:name="Tc_NRYAIo2-eESGHhlXYMSgTA_36_12"/>
      <w:bookmarkStart w:id="949" w:name="Tc_8ZGWQRCuG0S6yhrIvJ_x-A_36_9"/>
      <w:bookmarkStart w:id="950" w:name="Tc_EUTq-GY2aki8vip3TJcp1A_36_6"/>
      <w:bookmarkStart w:id="951" w:name="Tc_0ugTUf7a0k-47FL3ju8gSA_36_3"/>
      <w:bookmarkStart w:id="952" w:name="Tc_Yxa7JWx-SUy08ERnmc3qCA_36_0"/>
      <w:bookmarkStart w:id="953" w:name="Tc_LakXFoN23EyXpxWZUrEdAA_35_24"/>
      <w:bookmarkStart w:id="954" w:name="Tc_G68sOnCZ00ykz5nFlieetA_35_21"/>
      <w:bookmarkStart w:id="955" w:name="Tc_B8_cTGkNtE24ymCPtO1QzQ_35_18"/>
      <w:bookmarkStart w:id="956" w:name="Tc_twBYtT3XEkyz4wa7e9Hbuw_35_15"/>
      <w:bookmarkStart w:id="957" w:name="Tc_dhpDi_tuIEilSNCOExcWew_35_12"/>
      <w:bookmarkStart w:id="958" w:name="Tc_we-hQeA8L0CgkmuSIDd7jA_35_9"/>
      <w:bookmarkStart w:id="959" w:name="Tc_KVYqvz-QpkuQGChJiVsYkA_35_6"/>
      <w:bookmarkStart w:id="960" w:name="Tc_wq6TzexQ8EqAm_U_uv8KkQ_35_3"/>
      <w:bookmarkStart w:id="961" w:name="Tc_7RdyzXDc_0G3hChxu2k3Iw_35_0"/>
      <w:bookmarkStart w:id="962" w:name="Tc_Tyu2q0P9yk6VPHzW-BHENw_34_24"/>
      <w:bookmarkStart w:id="963" w:name="Tc_QE8wUZC5K0KvrPfOhhHQzA_34_23"/>
      <w:bookmarkStart w:id="964" w:name="Tc__IXl_cWNC0W51lrOlAul-g_34_21"/>
      <w:bookmarkStart w:id="965" w:name="Tc_BS3Pee-Pz0mlOtrnCVeVqA_34_20"/>
      <w:bookmarkStart w:id="966" w:name="Tc_6Tw-n_TB20eGCZko0y2pcA_34_18"/>
      <w:bookmarkStart w:id="967" w:name="Tc_BiL__5dGpkyDzFd7TIWyfw_34_17"/>
      <w:bookmarkStart w:id="968" w:name="Tc_WxDr10aItU2bUdPP9IUwTg_34_15"/>
      <w:bookmarkStart w:id="969" w:name="Tc_xVycvoz2HEeBcOlBSwyT_w_34_14"/>
      <w:bookmarkStart w:id="970" w:name="Tc_bv5TC7tkXUundRse23Kr1w_34_12"/>
      <w:bookmarkStart w:id="971" w:name="Tc_urYaNTjiQUeb-J5hEdZA7Q_34_11"/>
      <w:bookmarkStart w:id="972" w:name="Tc_GUdK6A17tk2RJ2d0p7niIw_34_9"/>
      <w:bookmarkStart w:id="973" w:name="Tc_gMNeocWn8k-r94y0ytlB9g_34_8"/>
      <w:bookmarkStart w:id="974" w:name="Tc_8RNLhPrvOEKf-eRI_k13zA_34_6"/>
      <w:bookmarkStart w:id="975" w:name="Tc_-jvrm9rU2E6VOfW8AsY23A_34_5"/>
      <w:bookmarkStart w:id="976" w:name="Tc_32XCGbPfkkCb3o3qo136eQ_34_3"/>
      <w:bookmarkStart w:id="977" w:name="Tc_cBv7Ibc3YEmE8HhzL5AZcg_34_2"/>
      <w:bookmarkStart w:id="978" w:name="Tc_C2HqhatmXkuMWqLSKYdbVQ_34_0"/>
      <w:bookmarkStart w:id="979" w:name="Tc_pAThbmdwFkWCcc_BjmQXlA_33_0"/>
      <w:bookmarkStart w:id="980" w:name="Tc_pNB4AxITHkuyx_kmozjXGA_32_23"/>
      <w:bookmarkStart w:id="981" w:name="Tc_XaymEJxua0SlpB77QQ7Wzg_32_20"/>
      <w:bookmarkStart w:id="982" w:name="Tc_ZJl-F-CH90eZ8VCD31G_wQ_32_17"/>
      <w:bookmarkStart w:id="983" w:name="Tc_TsuE8JmowEaGNCMlhWADqg_32_14"/>
      <w:bookmarkStart w:id="984" w:name="Tc_2W9Op5jbUUyQ5zdQMpM_lg_32_11"/>
      <w:bookmarkStart w:id="985" w:name="Tc_zJ7TfuXITkyUf2jnN7j0jw_32_8"/>
      <w:bookmarkStart w:id="986" w:name="Tc_U_u2r418a0eDCyWROC6y4Q_32_5"/>
      <w:bookmarkStart w:id="987" w:name="Tc_K5uOVGDGJEerZi47trZewQ_32_2"/>
      <w:bookmarkStart w:id="988" w:name="Tc_QsxZQooGBkOFgOA_QfpfUg_32_0"/>
      <w:bookmarkStart w:id="989" w:name="Tc_x6DpJsSGrE6bxLMeuC6CBg_31_21"/>
      <w:bookmarkStart w:id="990" w:name="Tc_SbNcTKoqhkCT_jO-cK3zXQ_31_15"/>
      <w:bookmarkStart w:id="991" w:name="Tc_gNWW5KxGk0yEemQiqgXQKw_31_12"/>
      <w:bookmarkStart w:id="992" w:name="Tc_nGEFXsYurUqNK8GHeohoiQ_31_9"/>
      <w:bookmarkStart w:id="993" w:name="Tc_hsB-wDVwfkOlYdwKjAXbCA_31_6"/>
      <w:bookmarkStart w:id="994" w:name="Tc_1gFJkZo16U2vHcNGsrB9Ug_31_3"/>
      <w:bookmarkStart w:id="995" w:name="Tc_-qcIcdJcpEuQdGG-i_3RsQ_31_0"/>
      <w:bookmarkStart w:id="996" w:name="Tc_ldMaf4R3vkCu2Iz4XUjQRQ_30_24"/>
      <w:bookmarkStart w:id="997" w:name="Tc_sLdhg7JHrk6hQKEpdZnIkQ_30_21"/>
      <w:bookmarkStart w:id="998" w:name="Tc_6eDT5so0f0KBbXld-mPU6g_30_18"/>
      <w:bookmarkStart w:id="999" w:name="Tc_kkxyJ1q0HkaYbZ5NJsClRQ_30_15"/>
      <w:bookmarkStart w:id="1000" w:name="Tc_6PEgXU5-ckSMp4aZeY8-Tg_30_12"/>
      <w:bookmarkStart w:id="1001" w:name="Tc_f5vsX-B9t06Yr56FnlcCWQ_30_9"/>
      <w:bookmarkStart w:id="1002" w:name="Tc_kph19E5tl0KyXrJ3v7whJg_30_6"/>
      <w:bookmarkStart w:id="1003" w:name="Tc_0ByXhfB4nU6GTarxCRNlUg_30_3"/>
      <w:bookmarkStart w:id="1004" w:name="Tc_tR_rHlFw2kOwC6lOd9_lNA_30_0"/>
      <w:bookmarkStart w:id="1005" w:name="Tc_bzAA-FkGdESODQrWDUfttw_29_24"/>
      <w:bookmarkStart w:id="1006" w:name="Tc_PP7Wa6QZskapNvrmMazR6Q_29_21"/>
      <w:bookmarkStart w:id="1007" w:name="Tc_0PdXK54rekaIHKy8C2-1Vg_29_18"/>
      <w:bookmarkStart w:id="1008" w:name="Tc_7QkfDIw6TEGcubaIbCnO4g_29_15"/>
      <w:bookmarkStart w:id="1009" w:name="Tc_IyGUvBvqqEeafWJauvsKFw_29_12"/>
      <w:bookmarkStart w:id="1010" w:name="Tc_cFNid8sNp0SPLgqkQOEXKA_29_9"/>
      <w:bookmarkStart w:id="1011" w:name="Tc_Eej_KRcHMEe-zrYQDpwfxg_29_6"/>
      <w:bookmarkStart w:id="1012" w:name="Tc_4hEs_ezlb0y7qD_ZYdmB7A_29_3"/>
      <w:bookmarkStart w:id="1013" w:name="Tc_-TnofGxVVEO1sz8zM0V_Kw_29_0"/>
      <w:bookmarkStart w:id="1014" w:name="Tc_8gFKKu7c20iNLWqLN9ozcA_28_24"/>
      <w:bookmarkStart w:id="1015" w:name="Tc_vOlJyiDhNUOFwdZ2IVdVBw_28_21"/>
      <w:bookmarkStart w:id="1016" w:name="Tc_3ql_SjsRF02d67RcqR5Gmg_28_18"/>
      <w:bookmarkStart w:id="1017" w:name="Tc_GYf3BL0jx0yc6KlB9VYxaA_28_15"/>
      <w:bookmarkStart w:id="1018" w:name="Tc_LwRnQZ07r0KTFMnSN_YTOw_28_12"/>
      <w:bookmarkStart w:id="1019" w:name="Tc_sCqGAlzV2kKViOexOharzA_28_9"/>
      <w:bookmarkStart w:id="1020" w:name="Tc_q5rq1-_jF0CVEP8N9U_oSA_28_6"/>
      <w:bookmarkStart w:id="1021" w:name="Tc_JxqFxIEjIEKgOihGvEUliw_28_3"/>
      <w:bookmarkStart w:id="1022" w:name="Tc_syWsYJlT90e2_h05zLoaaQ_28_0"/>
      <w:bookmarkStart w:id="1023" w:name="Tc_q7BLJG1_X0m8_9Uc9ZLOEw_27_24"/>
      <w:bookmarkStart w:id="1024" w:name="Tc_LGNecvrztEGlAqbXXU4KbA_27_21"/>
      <w:bookmarkStart w:id="1025" w:name="Tc_hfGLrfySx0GjE1qvGJ0rog_27_18"/>
      <w:bookmarkStart w:id="1026" w:name="Tc_jQVwCwX_2kGeavGQ-JjOBg_27_15"/>
      <w:bookmarkStart w:id="1027" w:name="Tc_WpBm98O3SUmP-HLQ16TqbA_27_12"/>
      <w:bookmarkStart w:id="1028" w:name="Tc_aJr1F5jTnkOFps65Wur00g_27_9"/>
      <w:bookmarkStart w:id="1029" w:name="Tc_p_PlIRiJ-UqMmCqLdeLcZg_27_6"/>
      <w:bookmarkStart w:id="1030" w:name="Tc_tU2BiEzmLku_Dq_rp10XuA_27_3"/>
      <w:bookmarkStart w:id="1031" w:name="Tc_ox8y7DhZwEmbtewm-AkHYw_27_0"/>
      <w:bookmarkStart w:id="1032" w:name="Tc_6hiSarDRvUuLb_euSj1h-A_26_24"/>
      <w:bookmarkStart w:id="1033" w:name="Tc_wJQuCh6jiUSYhBryAk8kFg_26_21"/>
      <w:bookmarkStart w:id="1034" w:name="Tc_zOO3_3YkP0i7ArZ0vpTvRw_26_18"/>
      <w:bookmarkStart w:id="1035" w:name="Tc_3giDL2qQvk20pyaMjfIdow_26_15"/>
      <w:bookmarkStart w:id="1036" w:name="Tc_hNLMjoX-00-0iYdjIG0mQg_26_12"/>
      <w:bookmarkStart w:id="1037" w:name="Tc_VjScQCJzZEGwYe3zAyIpKg_26_9"/>
      <w:bookmarkStart w:id="1038" w:name="Tc_vWAcYHI0QE2zHU6BSyyu0A_26_6"/>
      <w:bookmarkStart w:id="1039" w:name="Tc_jeolAKSOLUalwRYRoszg1w_26_3"/>
      <w:bookmarkStart w:id="1040" w:name="Tc_lVlROMe4fkuOKKh5e4dalQ_26_0"/>
      <w:bookmarkStart w:id="1041" w:name="Tc_UD7FskBNcEm2O8BQB3znVQ_25_24"/>
      <w:bookmarkStart w:id="1042" w:name="Tc_3wkyDvYh1USVaaLqKlZNuw_25_21"/>
      <w:bookmarkStart w:id="1043" w:name="Tc_HE3ML-CpnEGkXphH7h5s1A_25_18"/>
      <w:bookmarkStart w:id="1044" w:name="Tc_CXx0uu2lJ0y8MMTR0DZEOw_25_15"/>
      <w:bookmarkStart w:id="1045" w:name="Tc_U9mknipJ9kCauvwtu6SWgA_25_12"/>
      <w:bookmarkStart w:id="1046" w:name="Tc_D56_I1vhnkixmY8QlHQ2Iw_25_9"/>
      <w:bookmarkStart w:id="1047" w:name="Tc_H7sOeoan8E6wXYSXF7ejCw_25_6"/>
      <w:bookmarkStart w:id="1048" w:name="Tc_UH8HY7ChUE6wkXCu2D2KKg_25_3"/>
      <w:bookmarkStart w:id="1049" w:name="Tc_6lEi_I1iEEy1QdXYriA45A_25_0"/>
      <w:bookmarkStart w:id="1050" w:name="Tc_XbrAVQrq_0eQwSrL_A5W5Q_24_24"/>
      <w:bookmarkStart w:id="1051" w:name="Tc_59w9JuwSjE2k5TeUXaSdOw_24_21"/>
      <w:bookmarkStart w:id="1052" w:name="Tc_8FU8EEKsSkCRii3Kvur8ZA_24_18"/>
      <w:bookmarkStart w:id="1053" w:name="Tc_0DNlkw04AkGluCNzjlWbAg_24_15"/>
      <w:bookmarkStart w:id="1054" w:name="Tc_0NqjsIWzwE2z12fVo4MsEQ_24_12"/>
      <w:bookmarkStart w:id="1055" w:name="Tc_yCNqklUO30yGmJHFxH3B0Q_24_9"/>
      <w:bookmarkStart w:id="1056" w:name="Tc_2t6I37qirUugyU8enPtu3A_24_6"/>
      <w:bookmarkStart w:id="1057" w:name="Tc_8DNxgOnyaE65lrhdLedhSw_24_3"/>
      <w:bookmarkStart w:id="1058" w:name="Tc_ZNo-fJdIXUm1VZxeZA-xuw_24_0"/>
      <w:bookmarkStart w:id="1059" w:name="Tc_ZmEnHBXvP0e9MqWc6f4bBQ_23_21"/>
      <w:bookmarkStart w:id="1060" w:name="Tc_8tAWpUYH1UqPAX_u-r_5Ug_23_15"/>
      <w:bookmarkStart w:id="1061" w:name="Tc_ufXu9iZxXEaDyq2QGweYvA_23_12"/>
      <w:bookmarkStart w:id="1062" w:name="Tc_Uh7mK8i3YEOZkxWA4pBCIA_23_9"/>
      <w:bookmarkStart w:id="1063" w:name="Tc_oSCIf0tlTkqadNn8FJFDOQ_23_6"/>
      <w:bookmarkStart w:id="1064" w:name="Tc_g00Zf650ekWOBEv4BvXrGA_23_3"/>
      <w:bookmarkStart w:id="1065" w:name="Tc_yK8OnL31EUqW05gmROlLEw_23_0"/>
      <w:bookmarkStart w:id="1066" w:name="Tc_oG-SWMUUdU2QF95vRJmc9Q_22_0"/>
      <w:bookmarkStart w:id="1067" w:name="Tc_C0SfABNIEU-6pwBhKEjA2A_21_12"/>
      <w:bookmarkStart w:id="1068" w:name="Tc_5cHDk0nI_EmUqrsKCxBNhw_21_9"/>
      <w:bookmarkStart w:id="1069" w:name="Tc_TJqnQV_0mUWhl8xhS0g0RA_21_0"/>
      <w:bookmarkStart w:id="1070" w:name="Tc_T32SEAYLXk2cASdaekJUGw_20_18"/>
      <w:bookmarkStart w:id="1071" w:name="Tc_GYdtfuSUOU2d1is9zTga5Q_20_15"/>
      <w:bookmarkStart w:id="1072" w:name="Tc_Aw7igV-FsUeE_5YPJNzB-w_20_12"/>
      <w:bookmarkStart w:id="1073" w:name="Tc_Q7TlVZJIeUqc5ivc4deNBQ_20_9"/>
      <w:bookmarkStart w:id="1074" w:name="Tc_aBVhmZr7nkOvFLXFV5IkHQ_20_6"/>
      <w:bookmarkStart w:id="1075" w:name="Tc_DuORjjMKbUGinZ1bM01zHg_20_3"/>
      <w:bookmarkStart w:id="1076" w:name="Tc_-COxDnOssEGAtjrqRXzLFQ_20_0"/>
      <w:bookmarkStart w:id="1077" w:name="Tc_P7tnFGXs2keJZDy-IXkJaQ_19_24"/>
      <w:bookmarkStart w:id="1078" w:name="Tc_ZrwjR42s8k2eXnc6mVlGpA_19_21"/>
      <w:bookmarkStart w:id="1079" w:name="Tc_3bH2H7K3eEWjBfDN5vt9IQ_19_18"/>
      <w:bookmarkStart w:id="1080" w:name="Tc_iPElccB2DkOVi0ttJgSFCw_19_15"/>
      <w:bookmarkStart w:id="1081" w:name="Tc_IWvsPxCGA064tpsp44XJ7w_19_12"/>
      <w:bookmarkStart w:id="1082" w:name="Tc_EdM4HFdvmU-ccEGiyCSVNg_19_9"/>
      <w:bookmarkStart w:id="1083" w:name="Tc_JcjCi96JLEaCIL4aC7TW9Q_19_6"/>
      <w:bookmarkStart w:id="1084" w:name="Tc_ZnlGc-P0zU2jonFHSaXAeA_19_3"/>
      <w:bookmarkStart w:id="1085" w:name="Tc_342ElvnVnEmCZS6MWvM-5A_19_0"/>
      <w:bookmarkStart w:id="1086" w:name="Tc_Ki6bMIEUMESTqDjA5o1gzQ_18_21"/>
      <w:bookmarkStart w:id="1087" w:name="Tc_BbmMNxfGmEGbSJ4Jdktd5w_18_18"/>
      <w:bookmarkStart w:id="1088" w:name="Tc_7zBOlcONXkuWcOKsKa5w3w_18_15"/>
      <w:bookmarkStart w:id="1089" w:name="Tc_YGC5XC8ZUUiXpMyPRvkrIQ_18_12"/>
      <w:bookmarkStart w:id="1090" w:name="Tc_8mXIR6Wwe0C0HJjvYNZFvg_18_9"/>
      <w:bookmarkStart w:id="1091" w:name="Tc_deNiuio8LkGAvjuFRpqQoQ_18_0"/>
      <w:bookmarkStart w:id="1092" w:name="Tc_9hgwbey4eEyigTCBoeMZvA_17_24"/>
      <w:bookmarkStart w:id="1093" w:name="Tc_FoKPD81kFk6uBgGuuW41cA_17_21"/>
      <w:bookmarkStart w:id="1094" w:name="Tc_Tz9a8Lo5b0C1ZKY_CmpsHA_17_18"/>
      <w:bookmarkStart w:id="1095" w:name="Tc_uGS_MjLGPUicHeq-r5kUFw_17_15"/>
      <w:bookmarkStart w:id="1096" w:name="Tc_LexjmvTrK0ybi9NiGJamKg_17_12"/>
      <w:bookmarkStart w:id="1097" w:name="Tc_GoNzYVwtJkGUgwTTwY2c_g_17_9"/>
      <w:bookmarkStart w:id="1098" w:name="Tc_oy75p44QIUW8yEixPjPekQ_17_6"/>
      <w:bookmarkStart w:id="1099" w:name="Tc_bQT79dChYkmgDmaXw7d3xg_17_3"/>
      <w:bookmarkStart w:id="1100" w:name="Tc_ng8OfovRNEGtOeOlT5x11g_17_0"/>
      <w:bookmarkStart w:id="1101" w:name="Tc_XgPSVt-r4UiPCJCXSmF3lQ_16_24"/>
      <w:bookmarkStart w:id="1102" w:name="Tc_xITD6keM30WAbuH9xBSiEA_16_21"/>
      <w:bookmarkStart w:id="1103" w:name="Tc_je-Katg-OUiwo4ToQ6hAfg_16_18"/>
      <w:bookmarkStart w:id="1104" w:name="Tc_2E9zjtrJfEitZqM0XmfgEw_16_15"/>
      <w:bookmarkStart w:id="1105" w:name="Tc_XH-cKsLF9EqshmzM-aConA_16_12"/>
      <w:bookmarkStart w:id="1106" w:name="Tc_zNsYG95qyEOET9fLT2EPJQ_16_9"/>
      <w:bookmarkStart w:id="1107" w:name="Tc_FY2gl6x3TUKA4rlIRwTcug_16_6"/>
      <w:bookmarkStart w:id="1108" w:name="Tc_D9LWWmvc70-YjTx7OQ2k0w_16_3"/>
      <w:bookmarkStart w:id="1109" w:name="Tc_wMk7B6492km5d8WTqNSpqg_16_0"/>
      <w:bookmarkStart w:id="1110" w:name="Tc_ghDui925kESH874iGzHoVw_15_24"/>
      <w:bookmarkStart w:id="1111" w:name="Tc_-CWNde65m0iN7TeCzrgPwQ_15_21"/>
      <w:bookmarkStart w:id="1112" w:name="Tc_faGCvyN1f0i0_7Dry-o7og_15_18"/>
      <w:bookmarkStart w:id="1113" w:name="Tc_mXRiBRaPTky2_TUvH8hHJQ_15_15"/>
      <w:bookmarkStart w:id="1114" w:name="Tc_bdi_r5hGoU-8IJuYTkOtwA_15_12"/>
      <w:bookmarkStart w:id="1115" w:name="Tc_fb66PFAnBk6yFrSqRdp94A_15_9"/>
      <w:bookmarkStart w:id="1116" w:name="Tc_5-lCvbb0HkSCHeCbCJjFQA_15_6"/>
      <w:bookmarkStart w:id="1117" w:name="Tc_LMZTH3Q8nE-IY47i8Iuhdw_15_3"/>
      <w:bookmarkStart w:id="1118" w:name="Tc_vs4HnA6cKk2lmgRe5-SX3A_15_0"/>
      <w:bookmarkStart w:id="1119" w:name="Tc_Ye79_zr8SEuK0VfDYznc2Q_14_24"/>
      <w:bookmarkStart w:id="1120" w:name="Tc_QJbzz2mCgUWLz0NNyQL6pQ_14_21"/>
      <w:bookmarkStart w:id="1121" w:name="Tc_wt4hB6WrP02fRZ0D5-7yyw_14_18"/>
      <w:bookmarkStart w:id="1122" w:name="Tc_uPvj1YMsOE66zw93iGDzXw_14_15"/>
      <w:bookmarkStart w:id="1123" w:name="Tc_eKJ07AmEukKDuCOveyN3XA_14_12"/>
      <w:bookmarkStart w:id="1124" w:name="Tc_aKqY22grm0mrdyGNBuMw3A_14_9"/>
      <w:bookmarkStart w:id="1125" w:name="Tc_6wZ8dNmhkkC-IuxKrQjRaw_14_6"/>
      <w:bookmarkStart w:id="1126" w:name="Tc_SxV8fVyyf0a8jXH5THqiMw_14_3"/>
      <w:bookmarkStart w:id="1127" w:name="Tc_E7xltJPj6U2QzgNlE99qjw_14_0"/>
      <w:bookmarkStart w:id="1128" w:name="Tc_mzoF_3XQK0KEKumNtSMPSA_13_21"/>
      <w:bookmarkStart w:id="1129" w:name="Tc_NfNRLBtFgEavImQdteK_9w_13_12"/>
      <w:bookmarkStart w:id="1130" w:name="Tc_rmllkQIMz0q_r_3RIZkZmg_13_9"/>
      <w:bookmarkStart w:id="1131" w:name="Tc_X9SFvWqyTk65k-S43R0ufA_13_6"/>
      <w:bookmarkStart w:id="1132" w:name="Tc_7pVGRJz4LE-RETN8D4TP8A_13_3"/>
      <w:bookmarkStart w:id="1133" w:name="Tc_GcyHq6sSqEev8hH0gnPm1Q_13_0"/>
      <w:bookmarkStart w:id="1134" w:name="Tc_0ovfW7EWVEmPBF1Xppf9rw_12_0"/>
      <w:bookmarkStart w:id="1135" w:name="Tc_VR15fBNp4k-qLZNnauYPPw_11_0"/>
      <w:bookmarkStart w:id="1136" w:name="Tc_j1uLXsISp0OfUBWk-PpYIQ_10_18"/>
      <w:bookmarkStart w:id="1137" w:name="Tc_ABO7SWxzxEaroPjsXzUKRA_10_15"/>
      <w:bookmarkStart w:id="1138" w:name="Tc_fxA2a_HESUa6eoXB48T-Yw_10_12"/>
      <w:bookmarkStart w:id="1139" w:name="Tc_m7T-43ijlkGtVcX3iWLeVw_10_9"/>
      <w:bookmarkStart w:id="1140" w:name="Tc_vU3OjPBjWUWkPlszl2i3Hg_10_6"/>
      <w:bookmarkStart w:id="1141" w:name="Tc_nK6We_lO6Ey_SLOZzn6j_g_10_3"/>
      <w:bookmarkStart w:id="1142" w:name="Tc_QIcHsVhJAkm0PmR1OsRL0Q_10_0"/>
      <w:bookmarkStart w:id="1143" w:name="Tc_Ud-e23TBe0im4sMsdmZvPQ_9_21"/>
      <w:bookmarkStart w:id="1144" w:name="Tc_u0wmc8HhK02n5FVubiTZKw_9_18"/>
      <w:bookmarkStart w:id="1145" w:name="Tc__2zwvyw5zkmNjd5yCA4USQ_9_15"/>
      <w:bookmarkStart w:id="1146" w:name="Tc_tpjIHesNQEKFf1RaTCUj8g_9_12"/>
      <w:bookmarkStart w:id="1147" w:name="Tc_gl5tVDj25k-Q6tpje8jYXQ_9_0"/>
      <w:bookmarkStart w:id="1148" w:name="Tc_AFQkQbmWgkiaX1jtsKYU_A_8_21"/>
      <w:bookmarkStart w:id="1149" w:name="Tc_qVUMAi0SUE-YXgDGn4pWdA_8_18"/>
      <w:bookmarkStart w:id="1150" w:name="Tc_XiYWxQok80CxPADis_nFtA_8_15"/>
      <w:bookmarkStart w:id="1151" w:name="Tc_2dxsLm-YPkOiM_Hd8YFEKQ_8_12"/>
      <w:bookmarkStart w:id="1152" w:name="Tc_gvQb5pHUl0u3tIixvytlxg_8_0"/>
      <w:bookmarkStart w:id="1153" w:name="Tc_UFlXQd-iikCAw99N9pEYXg_7_18"/>
      <w:bookmarkStart w:id="1154" w:name="Tc_BtBhhJYK-kaTxvnLpTLAkg_7_15"/>
      <w:bookmarkStart w:id="1155" w:name="Tc_icsegGYoiUCZ6ACt8LEbtA_7_12"/>
      <w:bookmarkStart w:id="1156" w:name="Tc_d8AQN5Kz2kiumg4G7VFU6Q_7_9"/>
      <w:bookmarkStart w:id="1157" w:name="Tc_gGsAm9Byuk--Okghi9pljQ_7_6"/>
      <w:bookmarkStart w:id="1158" w:name="Tc_rU12Cd3SGkCopEzZ08u4tg_7_3"/>
      <w:bookmarkStart w:id="1159" w:name="Tc_BY_GtvffBkeTJ2xRe2Qblw_7_0"/>
      <w:bookmarkStart w:id="1160" w:name="Tc_YXk9YULU3UiwduYXpPXqHQ_6_18"/>
      <w:bookmarkStart w:id="1161" w:name="Tc_lL5wHKR2bk6a0kuP-8Bm5A_6_15"/>
      <w:bookmarkStart w:id="1162" w:name="Tc_VjjvKAQANEOo5C0VVJn6Gw_6_12"/>
      <w:bookmarkStart w:id="1163" w:name="Tc_a51DMGIyJEie5wg1x0eNDg_6_9"/>
      <w:bookmarkStart w:id="1164" w:name="Tc_hOSNJZJGNE-k_YWcFjmKdA_6_6"/>
      <w:bookmarkStart w:id="1165" w:name="Tc_K0Yl623X7UiEkfNFt09MBg_6_3"/>
      <w:bookmarkStart w:id="1166" w:name="Tc_e0jaLfhK4UKYfz8j_cXSBA_6_0"/>
      <w:bookmarkStart w:id="1167" w:name="Tc_PAdwwYFCFkC0q2E3KIX0yw_5_21"/>
      <w:bookmarkStart w:id="1168" w:name="Tc_loNIaCGu_0GMZbyO0SLO_g_5_15"/>
      <w:bookmarkStart w:id="1169" w:name="Tc_P_0ZfH3Ix0yqmbLEcanoAA_5_12"/>
      <w:bookmarkStart w:id="1170" w:name="Tc_dOg2V5HZPEa5XB9K1GH6YA_5_9"/>
      <w:bookmarkStart w:id="1171" w:name="Tc_9iRF3BeBVkyiSe7WhmNl8A_5_6"/>
      <w:bookmarkStart w:id="1172" w:name="Tc_MaRB9_zvn027mezTKgZuXA_5_3"/>
      <w:bookmarkStart w:id="1173" w:name="Tc_WENAIeUkRka8L-NeJ3Y8WQ_5_0"/>
      <w:bookmarkStart w:id="1174" w:name="Tc_gUJWWMolwE2x4AZE2dpKDw_4_21"/>
      <w:bookmarkStart w:id="1175" w:name="Tc_dPIuiYIlbkmjkJe5WMDsHg_4_15"/>
      <w:bookmarkStart w:id="1176" w:name="Tc_Qj2TU3X0r06Wty8uVf735Q_4_12"/>
      <w:bookmarkStart w:id="1177" w:name="Tc_k7IDeu7YB0uhJyppXmo25A_4_9"/>
      <w:bookmarkStart w:id="1178" w:name="Tc_cJTYKranGUeb9DYX0P6igQ_4_6"/>
      <w:bookmarkStart w:id="1179" w:name="Tc_O_vAjb_npEOhw0Unhl9M-g_4_3"/>
      <w:bookmarkStart w:id="1180" w:name="Tc_FR6YMxeaPE6KBx1U_eJ_lQ_4_0"/>
      <w:bookmarkStart w:id="1181" w:name="Tc_BYyUz7Gr5UeU-uDjX8BTNw_3_23"/>
      <w:bookmarkStart w:id="1182" w:name="Tc_iKnhgSdZvEuZ0iCcMaLV1Q_3_21"/>
      <w:bookmarkStart w:id="1183" w:name="Tc_POtrD88oi0CUQpia-39sgQ_3_20"/>
      <w:bookmarkStart w:id="1184" w:name="Tc_c5DRdUy5MUCsdYZ8n1NEhA_3_17"/>
      <w:bookmarkStart w:id="1185" w:name="Tc_wv0Cut0ibU-KwrIvNbnovg_3_14"/>
      <w:bookmarkStart w:id="1186" w:name="Tc_DttPZL0JVEe-PRZrH0_5jQ_3_11"/>
      <w:bookmarkStart w:id="1187" w:name="Tc_a_ISy0hOs0qp5ZuQKqj7og_3_8"/>
      <w:bookmarkStart w:id="1188" w:name="Tc_weRb4otEP0eTnFpTq-Ccyg_3_5"/>
      <w:bookmarkStart w:id="1189" w:name="Tc_APfAodILNE-XPjqWKZoTww_3_2"/>
      <w:bookmarkStart w:id="1190" w:name="Tc_LHO9Ov5MRk21ZUtj6wDgIQ_3_0"/>
      <w:bookmarkStart w:id="1191" w:name="Tc_w-U3gjxAWki-K5CMj0VOPw_2_0"/>
      <w:bookmarkStart w:id="1192" w:name="Tc_B9wSsXdS0kunFlkiEJLsfA_1_23"/>
      <w:bookmarkStart w:id="1193" w:name="Tc_01tDVVwMDU6KVyjIw-XFMQ_1_20"/>
      <w:bookmarkStart w:id="1194" w:name="Tc_5ab4inpl50uWfAXklkQFzg_1_17"/>
      <w:bookmarkStart w:id="1195" w:name="Tc_NQaIz2FYcEi57gjtxV6hyQ_1_14"/>
      <w:bookmarkStart w:id="1196" w:name="Tc_mNj8uezT1Em5zoB2WjiWDg_1_11"/>
      <w:bookmarkStart w:id="1197" w:name="Tc_jkofAv7cBE2-n4eTcXFbHw_1_8"/>
      <w:bookmarkStart w:id="1198" w:name="Tc_zREs2uUuGEuiZjHZ3SWGew_1_5"/>
      <w:bookmarkStart w:id="1199" w:name="Tc_CuTkias4tUOmE5NbY3PQlQ_1_2"/>
      <w:bookmarkStart w:id="1200" w:name="Tc_dGPMm5w_sESh1VEgMjEAcQ_1_0"/>
      <w:bookmarkStart w:id="1201" w:name="_0d823feb_0f38_47d4_891f_df2a99b4f055"/>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r>
        <w:rPr>
          <w:rFonts w:ascii="Times New Roman;Times;serif" w:hAnsi="Times New Roman;Times;serif"/>
          <w:b/>
          <w:i w:val="false"/>
          <w:caps w:val="false"/>
          <w:smallCaps w:val="false"/>
          <w:sz w:val="20"/>
        </w:rPr>
        <w:t>5.</w:t>
      </w:r>
      <w:r>
        <w:rPr>
          <w:rFonts w:ascii="Times New Roman;Times;serif" w:hAnsi="Times New Roman;Times;serif"/>
          <w:b/>
          <w:sz w:val="20"/>
        </w:rPr>
        <w:t>Loans Receivable (continued)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Business commercial loans are generally evaluated using the following internally prepared ratings:</w:t>
      </w:r>
    </w:p>
    <w:p>
      <w:pPr>
        <w:pStyle w:val="TextBody"/>
        <w:bidi w:val="0"/>
        <w:spacing w:before="0" w:after="240"/>
        <w:ind w:left="0" w:right="0" w:firstLine="360"/>
        <w:jc w:val="left"/>
        <w:rPr/>
      </w:pPr>
      <w:r>
        <w:rPr/>
        <w:t>“</w:t>
      </w:r>
      <w:r>
        <w:rPr>
          <w:rFonts w:ascii="Times New Roman;Times;serif" w:hAnsi="Times New Roman;Times;serif"/>
          <w:sz w:val="20"/>
        </w:rPr>
        <w:t>Pass” ratings are assigned to loans with adequate collateral and debt service ability such that collectability of the contractual loan payments is highly probable.</w:t>
      </w:r>
    </w:p>
    <w:p>
      <w:pPr>
        <w:pStyle w:val="TextBody"/>
        <w:bidi w:val="0"/>
        <w:spacing w:before="0" w:after="240"/>
        <w:ind w:left="0" w:right="0" w:firstLine="360"/>
        <w:jc w:val="left"/>
        <w:rPr/>
      </w:pPr>
      <w:r>
        <w:rPr/>
        <w:t>“</w:t>
      </w:r>
      <w:r>
        <w:rPr>
          <w:rFonts w:ascii="Times New Roman;Times;serif" w:hAnsi="Times New Roman;Times;serif"/>
          <w:sz w:val="20"/>
        </w:rPr>
        <w:t>Watch / special mention” ratings are assigned to loans where management has some concern that the collateral or debt service ability may not be adequate, though the collectability of the contractual loan payments is still probable.</w:t>
      </w:r>
    </w:p>
    <w:p>
      <w:pPr>
        <w:pStyle w:val="TextBody"/>
        <w:bidi w:val="0"/>
        <w:spacing w:before="0" w:after="240"/>
        <w:ind w:left="0" w:right="0" w:firstLine="360"/>
        <w:jc w:val="left"/>
        <w:rPr/>
      </w:pPr>
      <w:r>
        <w:rPr/>
        <w:t>“</w:t>
      </w:r>
      <w:r>
        <w:rPr>
          <w:rFonts w:ascii="Times New Roman;Times;serif" w:hAnsi="Times New Roman;Times;serif"/>
          <w:sz w:val="20"/>
        </w:rPr>
        <w:t>Substandard” ratings are assigned to loans that do not have adequate collateral and/or debt service ability such that collectability of the contractual loan payments is no longer probable.</w:t>
      </w:r>
    </w:p>
    <w:p>
      <w:pPr>
        <w:pStyle w:val="TextBody"/>
        <w:bidi w:val="0"/>
        <w:spacing w:before="0" w:after="240"/>
        <w:ind w:left="0" w:right="0" w:firstLine="360"/>
        <w:jc w:val="left"/>
        <w:rPr/>
      </w:pPr>
      <w:r>
        <w:rPr/>
        <w:t>“</w:t>
      </w:r>
      <w:r>
        <w:rPr>
          <w:rFonts w:ascii="Times New Roman;Times;serif" w:hAnsi="Times New Roman;Times;serif"/>
          <w:sz w:val="20"/>
        </w:rPr>
        <w:t>Doubtful” ratings are assigned to loans that do not have adequate collateral and/or debt service ability, and collectability of the contractual loan payments is unlikely.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Loans not meeting the criteria above that are analyzed individually as part of the above described process are considered to be Pass rated loans. As of September 30, 2025 and December 31, 2024, and based on the most recent analysis performed, the risk category of loans by class of loans is as follows (in thousands):</w:t>
      </w:r>
    </w:p>
    <w:tbl>
      <w:tblPr>
        <w:tblW w:w="10205" w:type="dxa"/>
        <w:jc w:val="left"/>
        <w:tblInd w:w="0" w:type="dxa"/>
        <w:tblLayout w:type="fixed"/>
        <w:tblCellMar>
          <w:top w:w="0" w:type="dxa"/>
          <w:left w:w="0" w:type="dxa"/>
          <w:bottom w:w="0" w:type="dxa"/>
          <w:right w:w="0" w:type="dxa"/>
        </w:tblCellMar>
      </w:tblPr>
      <w:tblGrid>
        <w:gridCol w:w="1882"/>
        <w:gridCol w:w="326"/>
        <w:gridCol w:w="181"/>
        <w:gridCol w:w="511"/>
        <w:gridCol w:w="326"/>
        <w:gridCol w:w="181"/>
        <w:gridCol w:w="511"/>
        <w:gridCol w:w="326"/>
        <w:gridCol w:w="181"/>
        <w:gridCol w:w="511"/>
        <w:gridCol w:w="326"/>
        <w:gridCol w:w="181"/>
        <w:gridCol w:w="436"/>
        <w:gridCol w:w="326"/>
        <w:gridCol w:w="181"/>
        <w:gridCol w:w="511"/>
        <w:gridCol w:w="326"/>
        <w:gridCol w:w="181"/>
        <w:gridCol w:w="511"/>
        <w:gridCol w:w="326"/>
        <w:gridCol w:w="216"/>
        <w:gridCol w:w="610"/>
        <w:gridCol w:w="326"/>
        <w:gridCol w:w="181"/>
        <w:gridCol w:w="631"/>
      </w:tblGrid>
      <w:tr>
        <w:trPr/>
        <w:tc>
          <w:tcPr>
            <w:tcW w:w="18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195070" cy="175260"/>
                      <wp:effectExtent l="0" t="0" r="0" b="0"/>
                      <wp:wrapNone/>
                      <wp:docPr id="188" name="Frame187"/>
                      <a:graphic xmlns:a="http://schemas.openxmlformats.org/drawingml/2006/main">
                        <a:graphicData uri="http://schemas.microsoft.com/office/word/2010/wordprocessingShape">
                          <wps:wsp>
                            <wps:cNvSpPr txBox="1"/>
                            <wps:spPr>
                              <a:xfrm>
                                <a:off x="0" y="0"/>
                                <a:ext cx="1195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9" name="Frame1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14935" cy="175260"/>
                      <wp:effectExtent l="0" t="0" r="0" b="0"/>
                      <wp:wrapNone/>
                      <wp:docPr id="190" name="Frame18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324485" cy="175260"/>
                      <wp:effectExtent l="0" t="0" r="0" b="0"/>
                      <wp:wrapNone/>
                      <wp:docPr id="191" name="Frame19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2" name="Frame1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14935" cy="175260"/>
                      <wp:effectExtent l="0" t="0" r="0" b="0"/>
                      <wp:wrapNone/>
                      <wp:docPr id="193" name="Frame19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324485" cy="175260"/>
                      <wp:effectExtent l="0" t="0" r="0" b="0"/>
                      <wp:wrapNone/>
                      <wp:docPr id="194" name="Frame193"/>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7010" cy="175260"/>
                      <wp:effectExtent l="0" t="0" r="0" b="0"/>
                      <wp:wrapNone/>
                      <wp:docPr id="195" name="Frame1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14935" cy="175260"/>
                      <wp:effectExtent l="0" t="0" r="0" b="0"/>
                      <wp:wrapNone/>
                      <wp:docPr id="196" name="Frame19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324485" cy="175260"/>
                      <wp:effectExtent l="0" t="0" r="0" b="0"/>
                      <wp:wrapNone/>
                      <wp:docPr id="197" name="Frame19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7010" cy="175260"/>
                      <wp:effectExtent l="0" t="0" r="0" b="0"/>
                      <wp:wrapNone/>
                      <wp:docPr id="198" name="Frame1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14935" cy="175260"/>
                      <wp:effectExtent l="0" t="0" r="0" b="0"/>
                      <wp:wrapNone/>
                      <wp:docPr id="199" name="Frame19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76860" cy="175260"/>
                      <wp:effectExtent l="0" t="0" r="0" b="0"/>
                      <wp:wrapNone/>
                      <wp:docPr id="200" name="Frame199"/>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07010" cy="175260"/>
                      <wp:effectExtent l="0" t="0" r="0" b="0"/>
                      <wp:wrapNone/>
                      <wp:docPr id="201" name="Frame2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14935" cy="175260"/>
                      <wp:effectExtent l="0" t="0" r="0" b="0"/>
                      <wp:wrapNone/>
                      <wp:docPr id="202" name="Frame20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324485" cy="175260"/>
                      <wp:effectExtent l="0" t="0" r="0" b="0"/>
                      <wp:wrapNone/>
                      <wp:docPr id="203" name="Frame202"/>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7010" cy="175260"/>
                      <wp:effectExtent l="0" t="0" r="0" b="0"/>
                      <wp:wrapNone/>
                      <wp:docPr id="204" name="Frame2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14935" cy="175260"/>
                      <wp:effectExtent l="0" t="0" r="0" b="0"/>
                      <wp:wrapNone/>
                      <wp:docPr id="205" name="Frame20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324485" cy="175260"/>
                      <wp:effectExtent l="0" t="0" r="0" b="0"/>
                      <wp:wrapNone/>
                      <wp:docPr id="206" name="Frame205"/>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07010" cy="175260"/>
                      <wp:effectExtent l="0" t="0" r="0" b="0"/>
                      <wp:wrapNone/>
                      <wp:docPr id="207" name="Frame2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37160" cy="175260"/>
                      <wp:effectExtent l="0" t="0" r="0" b="0"/>
                      <wp:wrapNone/>
                      <wp:docPr id="208" name="Frame207"/>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387350" cy="175260"/>
                      <wp:effectExtent l="0" t="0" r="0" b="0"/>
                      <wp:wrapNone/>
                      <wp:docPr id="209" name="Frame208"/>
                      <a:graphic xmlns:a="http://schemas.openxmlformats.org/drawingml/2006/main">
                        <a:graphicData uri="http://schemas.microsoft.com/office/word/2010/wordprocessingShape">
                          <wps:wsp>
                            <wps:cNvSpPr txBox="1"/>
                            <wps:spPr>
                              <a:xfrm>
                                <a:off x="0" y="0"/>
                                <a:ext cx="387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7010" cy="175260"/>
                      <wp:effectExtent l="0" t="0" r="0" b="0"/>
                      <wp:wrapNone/>
                      <wp:docPr id="210" name="Frame2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14935" cy="175260"/>
                      <wp:effectExtent l="0" t="0" r="0" b="0"/>
                      <wp:wrapNone/>
                      <wp:docPr id="211" name="Frame21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400685" cy="175260"/>
                      <wp:effectExtent l="0" t="0" r="0" b="0"/>
                      <wp:wrapNone/>
                      <wp:docPr id="212" name="Frame211"/>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8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September 30, 2025</w:t>
            </w:r>
          </w:p>
        </w:tc>
        <w:tc>
          <w:tcPr>
            <w:tcW w:w="326" w:type="dxa"/>
            <w:tcBorders/>
            <w:vAlign w:val="center"/>
          </w:tcPr>
          <w:p>
            <w:pPr>
              <w:pStyle w:val="TableContents"/>
              <w:bidi w:val="0"/>
              <w:spacing w:before="0" w:after="0"/>
              <w:ind w:left="0" w:right="0" w:hanging="0"/>
              <w:jc w:val="center"/>
              <w:rPr/>
            </w:pPr>
            <w:r>
              <w:rPr/>
              <w:t>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6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center"/>
              <w:rPr/>
            </w:pPr>
            <w:r>
              <w:rPr/>
              <w:t>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Prior</w:t>
            </w:r>
          </w:p>
        </w:tc>
        <w:tc>
          <w:tcPr>
            <w:tcW w:w="326" w:type="dxa"/>
            <w:tcBorders/>
            <w:vAlign w:val="center"/>
          </w:tcPr>
          <w:p>
            <w:pPr>
              <w:pStyle w:val="TableContents"/>
              <w:bidi w:val="0"/>
              <w:spacing w:before="0" w:after="0"/>
              <w:ind w:left="0" w:right="0" w:hanging="0"/>
              <w:jc w:val="center"/>
              <w:rPr/>
            </w:pPr>
            <w:r>
              <w:rPr/>
              <w:t>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Revolvers</w:t>
            </w:r>
          </w:p>
        </w:tc>
        <w:tc>
          <w:tcPr>
            <w:tcW w:w="326" w:type="dxa"/>
            <w:tcBorders/>
            <w:vAlign w:val="center"/>
          </w:tcPr>
          <w:p>
            <w:pPr>
              <w:pStyle w:val="TableContents"/>
              <w:bidi w:val="0"/>
              <w:spacing w:before="0" w:after="0"/>
              <w:ind w:left="0" w:right="0" w:hanging="0"/>
              <w:jc w:val="center"/>
              <w:rPr/>
            </w:pPr>
            <w:r>
              <w:rPr/>
              <w:t>    </w:t>
            </w:r>
          </w:p>
        </w:tc>
        <w:tc>
          <w:tcPr>
            <w:tcW w:w="8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882"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Pass</w:t>
            </w:r>
          </w:p>
        </w:tc>
        <w:tc>
          <w:tcPr>
            <w:tcW w:w="326"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center"/>
              <w:rPr/>
            </w:pPr>
            <w:r>
              <w:rPr/>
              <w:t>​</w:t>
            </w:r>
          </w:p>
        </w:tc>
      </w:tr>
      <w:tr>
        <w:trPr/>
        <w:tc>
          <w:tcPr>
            <w:tcW w:w="18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First Mortgage</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2,100</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5,132</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3,913</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7,078</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24,851</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67,445</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110,519</w:t>
            </w:r>
          </w:p>
        </w:tc>
      </w:tr>
      <w:tr>
        <w:trPr/>
        <w:tc>
          <w:tcPr>
            <w:tcW w:w="18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Purchased and Participations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6,112</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61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6,112</w:t>
            </w:r>
          </w:p>
        </w:tc>
      </w:tr>
      <w:tr>
        <w:trPr/>
        <w:tc>
          <w:tcPr>
            <w:tcW w:w="18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Home improvement, first mortgage</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174</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6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174</w:t>
            </w:r>
          </w:p>
        </w:tc>
      </w:tr>
      <w:tr>
        <w:trPr/>
        <w:tc>
          <w:tcPr>
            <w:tcW w:w="18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Home equity line of credit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61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5,027</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5,027</w:t>
            </w:r>
          </w:p>
        </w:tc>
      </w:tr>
      <w:tr>
        <w:trPr/>
        <w:tc>
          <w:tcPr>
            <w:tcW w:w="18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Commercial construction</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6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43,273</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43,273</w:t>
            </w:r>
          </w:p>
        </w:tc>
      </w:tr>
      <w:tr>
        <w:trPr/>
        <w:tc>
          <w:tcPr>
            <w:tcW w:w="18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Commercial and industrial</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2,141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11,823</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495</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61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14,459</w:t>
            </w:r>
          </w:p>
        </w:tc>
      </w:tr>
      <w:tr>
        <w:trPr/>
        <w:tc>
          <w:tcPr>
            <w:tcW w:w="18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Commercial real estate</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19,214</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34,575</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12,391</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6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66,180</w:t>
            </w:r>
          </w:p>
        </w:tc>
      </w:tr>
      <w:tr>
        <w:trPr/>
        <w:tc>
          <w:tcPr>
            <w:tcW w:w="18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Commercial line of credit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4,203</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4,203</w:t>
            </w:r>
          </w:p>
        </w:tc>
      </w:tr>
      <w:tr>
        <w:trPr/>
        <w:tc>
          <w:tcPr>
            <w:tcW w:w="18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pass</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23,455</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51,530</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16,799</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7,078</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24,851</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73,731</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52,503</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249,947</w:t>
            </w:r>
          </w:p>
        </w:tc>
      </w:tr>
      <w:tr>
        <w:trPr/>
        <w:tc>
          <w:tcPr>
            <w:tcW w:w="1882"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 xml:space="preserve">Special Mention </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r>
      <w:tr>
        <w:trPr/>
        <w:tc>
          <w:tcPr>
            <w:tcW w:w="18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First Mortgage</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523</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174</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6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697</w:t>
            </w:r>
          </w:p>
        </w:tc>
      </w:tr>
      <w:tr>
        <w:trPr/>
        <w:tc>
          <w:tcPr>
            <w:tcW w:w="18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Purchased and Participations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61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pPr>
            <w:r>
              <w:rPr/>
              <w:t>—</w:t>
            </w:r>
          </w:p>
        </w:tc>
      </w:tr>
      <w:tr>
        <w:trPr/>
        <w:tc>
          <w:tcPr>
            <w:tcW w:w="18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Home improvement, first mortgage</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6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r>
      <w:tr>
        <w:trPr/>
        <w:tc>
          <w:tcPr>
            <w:tcW w:w="18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Home equity line of credit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61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pPr>
            <w:r>
              <w:rPr/>
              <w:t>—</w:t>
            </w:r>
          </w:p>
        </w:tc>
      </w:tr>
      <w:tr>
        <w:trPr/>
        <w:tc>
          <w:tcPr>
            <w:tcW w:w="18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Commercial construction</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18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Commercial and industrial</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1,461</w:t>
            </w:r>
          </w:p>
        </w:tc>
      </w:tr>
      <w:tr>
        <w:trPr/>
        <w:tc>
          <w:tcPr>
            <w:tcW w:w="1882" w:type="dxa"/>
            <w:tcBorders/>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Commercial real estate</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1882"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Commercial line of credit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4,371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4,371</w:t>
            </w:r>
          </w:p>
        </w:tc>
      </w:tr>
      <w:tr>
        <w:trPr/>
        <w:tc>
          <w:tcPr>
            <w:tcW w:w="1882" w:type="dxa"/>
            <w:tcBorders/>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Total special mention</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900</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561</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523</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174</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4,371</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6,529</w:t>
            </w:r>
          </w:p>
        </w:tc>
      </w:tr>
      <w:tr>
        <w:trPr/>
        <w:tc>
          <w:tcPr>
            <w:tcW w:w="1882" w:type="dxa"/>
            <w:tcBorders/>
            <w:shd w:fill="CCEEFF" w:val="clear"/>
            <w:vAlign w:val="center"/>
          </w:tcPr>
          <w:p>
            <w:pPr>
              <w:pStyle w:val="TableContents"/>
              <w:bidi w:val="0"/>
              <w:spacing w:before="0" w:after="0"/>
              <w:ind w:left="0" w:right="0" w:hanging="0"/>
              <w:jc w:val="left"/>
              <w:rPr>
                <w:rFonts w:ascii="Times New Roman;Times;serif" w:hAnsi="Times New Roman;Times;serif"/>
                <w:b/>
                <w:color w:val="231F20"/>
                <w:sz w:val="14"/>
              </w:rPr>
            </w:pPr>
            <w:r>
              <w:rPr>
                <w:rFonts w:ascii="Times New Roman;Times;serif" w:hAnsi="Times New Roman;Times;serif"/>
                <w:b/>
                <w:color w:val="231F20"/>
                <w:sz w:val="14"/>
              </w:rPr>
              <w:t>Substandard</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r>
      <w:tr>
        <w:trPr/>
        <w:tc>
          <w:tcPr>
            <w:tcW w:w="1882" w:type="dxa"/>
            <w:tcBorders/>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First Mortgage</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1,628</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1,628</w:t>
            </w:r>
          </w:p>
        </w:tc>
      </w:tr>
      <w:tr>
        <w:trPr/>
        <w:tc>
          <w:tcPr>
            <w:tcW w:w="1882"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Purchased and Participations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r>
      <w:tr>
        <w:trPr/>
        <w:tc>
          <w:tcPr>
            <w:tcW w:w="1882" w:type="dxa"/>
            <w:tcBorders/>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Home improvement, first mortgage</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1882"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Home equity line of credit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r>
      <w:tr>
        <w:trPr/>
        <w:tc>
          <w:tcPr>
            <w:tcW w:w="1882" w:type="dxa"/>
            <w:tcBorders/>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Commercial construction</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18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Commercial and industrial</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r>
      <w:tr>
        <w:trPr/>
        <w:tc>
          <w:tcPr>
            <w:tcW w:w="1882" w:type="dxa"/>
            <w:tcBorders/>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Commercial real estate</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1882"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Commercial line of credit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1882" w:type="dxa"/>
            <w:tcBorders/>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Total substandard</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1,628</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1,628</w:t>
            </w:r>
          </w:p>
        </w:tc>
      </w:tr>
      <w:tr>
        <w:trPr/>
        <w:tc>
          <w:tcPr>
            <w:tcW w:w="1882"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24,355</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52,091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16,799</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7,078</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25,374</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75,533</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56,874</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258,104</w:t>
            </w:r>
          </w:p>
        </w:tc>
      </w:tr>
      <w:tr>
        <w:trPr/>
        <w:tc>
          <w:tcPr>
            <w:tcW w:w="1882" w:type="dxa"/>
            <w:tcBorders/>
            <w:vAlign w:val="center"/>
          </w:tcPr>
          <w:p>
            <w:pPr>
              <w:pStyle w:val="TableContents"/>
              <w:bidi w:val="0"/>
              <w:spacing w:before="0" w:after="0"/>
              <w:ind w:left="0" w:right="0" w:hanging="0"/>
              <w:jc w:val="left"/>
              <w:rPr>
                <w:rFonts w:ascii="Times New Roman;Times;serif" w:hAnsi="Times New Roman;Times;serif"/>
                <w:b/>
                <w:color w:val="231F20"/>
                <w:sz w:val="14"/>
              </w:rPr>
            </w:pPr>
            <w:r>
              <w:rPr>
                <w:rFonts w:ascii="Times New Roman;Times;serif" w:hAnsi="Times New Roman;Times;serif"/>
                <w:b/>
                <w:color w:val="231F20"/>
                <w:sz w:val="14"/>
              </w:rPr>
              <w:t>Current year to date period gross write-offs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1882"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First Mortgage</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1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31" w:type="dxa"/>
            <w:tcBorders/>
            <w:shd w:fill="CCEEFF" w:val="clear"/>
            <w:vAlign w:val="center"/>
          </w:tcPr>
          <w:p>
            <w:pPr>
              <w:pStyle w:val="TableContents"/>
              <w:bidi w:val="0"/>
              <w:spacing w:before="0" w:after="0"/>
              <w:ind w:left="0" w:right="0" w:hanging="0"/>
              <w:jc w:val="right"/>
              <w:rPr/>
            </w:pPr>
            <w:r>
              <w:rPr/>
              <w:t>—</w:t>
            </w:r>
          </w:p>
        </w:tc>
      </w:tr>
      <w:tr>
        <w:trPr/>
        <w:tc>
          <w:tcPr>
            <w:tcW w:w="18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Purchased and Participations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18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Home improvement, first mortgage</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r>
      <w:tr>
        <w:trPr/>
        <w:tc>
          <w:tcPr>
            <w:tcW w:w="18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Home equity line of credit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18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Commercial construction</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r>
      <w:tr>
        <w:trPr/>
        <w:tc>
          <w:tcPr>
            <w:tcW w:w="18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Commercial and industrial</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18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Commercial real estate</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r>
      <w:tr>
        <w:trPr/>
        <w:tc>
          <w:tcPr>
            <w:tcW w:w="188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Commercial line of credit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88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pPr>
            <w:r>
              <w:rPr/>
              <w:t>—</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HOYNE SAVINGS, MHC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left"/>
        <w:rPr>
          <w:rFonts w:ascii="Times New Roman;Times;serif" w:hAnsi="Times New Roman;Times;serif"/>
          <w:b/>
          <w:sz w:val="20"/>
        </w:rPr>
      </w:pPr>
      <w:bookmarkStart w:id="1202" w:name="Tc_ZQxevzhNVEKewv77EByrcQ_42_24"/>
      <w:bookmarkStart w:id="1203" w:name="Tc_S6_I6TJI5kq5nVBuXn9GbQ_42_23"/>
      <w:bookmarkStart w:id="1204" w:name="Tc_QDWOTUzT3kaRasKdLVbt6A_42_21"/>
      <w:bookmarkStart w:id="1205" w:name="Tc_dWfFQy-opEOCCAgqGSYexQ_42_20"/>
      <w:bookmarkStart w:id="1206" w:name="Tc_INJ2epn1oESVGZGcptLcSg_42_18"/>
      <w:bookmarkStart w:id="1207" w:name="Tc_vgLXUUMN602qnMvhWivH7g_42_17"/>
      <w:bookmarkStart w:id="1208" w:name="Tc_VEnz0HRdDUeRVdYpg9PgkQ_42_15"/>
      <w:bookmarkStart w:id="1209" w:name="Tc_uVKT72V9PEeR3BYU8-329A_42_14"/>
      <w:bookmarkStart w:id="1210" w:name="Tc_yu8GUQVi2UyK2NgYcJoX1w_42_12"/>
      <w:bookmarkStart w:id="1211" w:name="Tc_w-7wwncu1kiUGUC1EmSIDA_42_11"/>
      <w:bookmarkStart w:id="1212" w:name="Tc__MYvC5PFPEORckP1PcWpjA_42_9"/>
      <w:bookmarkStart w:id="1213" w:name="Tc_RiWWtZGGN0-FEzaIVqYnIg_42_8"/>
      <w:bookmarkStart w:id="1214" w:name="Tc_La3M3EI2Yk-eVkqjAWY48Q_42_6"/>
      <w:bookmarkStart w:id="1215" w:name="Tc_a4f9N4qmlEWjDtVpf8in9w_42_5"/>
      <w:bookmarkStart w:id="1216" w:name="Tc_bdHfsk-UQUGtVrJGH_q7FA_42_3"/>
      <w:bookmarkStart w:id="1217" w:name="Tc__L9Xj_Tlf0iy-qiyIpDbog_42_2"/>
      <w:bookmarkStart w:id="1218" w:name="Tc_SzAbi4uHlUqTElG4Z6Gh2A_42_0"/>
      <w:bookmarkStart w:id="1219" w:name="Tc_AaeW47I8lU6ZXzQe1KSiwA_41_24"/>
      <w:bookmarkStart w:id="1220" w:name="Tc_vuvE0imeHkWvdtW-l62ShQ_41_21"/>
      <w:bookmarkStart w:id="1221" w:name="Tc_TGsA_yM1MU2z7QhjMWRLYA_41_18"/>
      <w:bookmarkStart w:id="1222" w:name="Tc_HJexj5YTTkawqPJA5AG8Gw_41_15"/>
      <w:bookmarkStart w:id="1223" w:name="Tc_gwvIst8zi0q4Bp3t0Gdakg_41_12"/>
      <w:bookmarkStart w:id="1224" w:name="Tc_iQCBSq_q-UWKJ7qx67zo5w_41_9"/>
      <w:bookmarkStart w:id="1225" w:name="Tc_5jxlWbf730-eiayHhfIIzg_41_6"/>
      <w:bookmarkStart w:id="1226" w:name="Tc_EwKF_9WpSke-MIhsu_Mm3Q_41_3"/>
      <w:bookmarkStart w:id="1227" w:name="Tc_Tme5leGQBkiZfv4cQhoksw_41_0"/>
      <w:bookmarkStart w:id="1228" w:name="Tc_-TWkvyPm7EKJ1lnNCW7owQ_40_24"/>
      <w:bookmarkStart w:id="1229" w:name="Tc_NG6w2NvyAkuzbsEL1kiDRA_40_21"/>
      <w:bookmarkStart w:id="1230" w:name="Tc_FlCO9PSBD06zihAizybEFQ_40_18"/>
      <w:bookmarkStart w:id="1231" w:name="Tc_kF0wJeSu4UesLHpzPlBJ_w_40_15"/>
      <w:bookmarkStart w:id="1232" w:name="Tc_Pb7qhr07d0K1Upr28Pv_ZA_40_12"/>
      <w:bookmarkStart w:id="1233" w:name="Tc_gofuFNhKY0GxnJxbfrGGcA_40_9"/>
      <w:bookmarkStart w:id="1234" w:name="Tc_g8vQ6WMOukWtSAjFgzSQyA_40_6"/>
      <w:bookmarkStart w:id="1235" w:name="Tc_edqN-uT8XkCUXyy8LN17tA_40_3"/>
      <w:bookmarkStart w:id="1236" w:name="Tc_Szhkl2i6_EeDtqf5lgRCSw_40_0"/>
      <w:bookmarkStart w:id="1237" w:name="Tc_mszFxUnmVkal6v9COzTiUw_39_24"/>
      <w:bookmarkStart w:id="1238" w:name="Tc_MCIrvuDUokaBOv4z0DUdMQ_39_21"/>
      <w:bookmarkStart w:id="1239" w:name="Tc_bsBxOUTXPUSx9HAUbifO7Q_39_18"/>
      <w:bookmarkStart w:id="1240" w:name="Tc_Gf4sj4OBd0-Q3h0D0UrD9A_39_15"/>
      <w:bookmarkStart w:id="1241" w:name="Tc_yYIOOlk0-EKXxNgdqcFf1Q_39_12"/>
      <w:bookmarkStart w:id="1242" w:name="Tc_t958rjMf1EGlPy2oAUI4PQ_39_9"/>
      <w:bookmarkStart w:id="1243" w:name="Tc_mGpSJ-g_SUaxjDa4GNWSoA_39_6"/>
      <w:bookmarkStart w:id="1244" w:name="Tc_IJqzH0M_wEePVp_-qNZ0DQ_39_3"/>
      <w:bookmarkStart w:id="1245" w:name="Tc_ZPgh2AsVzESvJaVv2pAdXA_39_0"/>
      <w:bookmarkStart w:id="1246" w:name="Tc_hAR56cFp1kyh5_Q8Fc-aww_38_24"/>
      <w:bookmarkStart w:id="1247" w:name="Tc_BdwMijifWkSGty15FxdATg_38_21"/>
      <w:bookmarkStart w:id="1248" w:name="Tc_xz5xKI2h_kmBfPLaNH_rXg_38_18"/>
      <w:bookmarkStart w:id="1249" w:name="Tc_yUszxjoY5EGxJW9uqg0MtA_38_15"/>
      <w:bookmarkStart w:id="1250" w:name="Tc_F_9N3Mt0JkK2xBGUP4Uknw_38_12"/>
      <w:bookmarkStart w:id="1251" w:name="Tc_hwW9F4MpPE2gCfKtpHG5lQ_38_9"/>
      <w:bookmarkStart w:id="1252" w:name="Tc_gcfBFn2DN0KGqGcvdjDSBg_38_6"/>
      <w:bookmarkStart w:id="1253" w:name="Tc_DdwMSf0_Eky4b4j8mTE0bQ_38_3"/>
      <w:bookmarkStart w:id="1254" w:name="Tc_jaQrQWp7xUCn1ylOpXb65w_38_0"/>
      <w:bookmarkStart w:id="1255" w:name="Tc_DUJNiPRCukypf4oLACdU_Q_37_24"/>
      <w:bookmarkStart w:id="1256" w:name="Tc_alMxFMUYIE6tv8xBfHBNuQ_37_21"/>
      <w:bookmarkStart w:id="1257" w:name="Tc_9FUYSjzOlE2nUa1NQ5BZsg_37_18"/>
      <w:bookmarkStart w:id="1258" w:name="Tc_3Mq44DNKxkmLwMC8fwni_A_37_15"/>
      <w:bookmarkStart w:id="1259" w:name="Tc_nHJd7yYHkUqA0G-0mVhVEw_37_12"/>
      <w:bookmarkStart w:id="1260" w:name="Tc_XsQXjVxcaU6_wAnNsH1wDw_37_9"/>
      <w:bookmarkStart w:id="1261" w:name="Tc_iRPxBWckvUOsdD9g7dby6g_37_6"/>
      <w:bookmarkStart w:id="1262" w:name="Tc_srsTD9ihgUibTrJpDBMO7A_37_3"/>
      <w:bookmarkStart w:id="1263" w:name="Tc_MrcTFyV4aEi_QdC17uipmg_37_0"/>
      <w:bookmarkStart w:id="1264" w:name="Tc_mqx-egRIL0-P1dQ6pbmwzA_36_24"/>
      <w:bookmarkStart w:id="1265" w:name="Tc_iKdcL94tNkCG88YjLxBZ7A_36_21"/>
      <w:bookmarkStart w:id="1266" w:name="Tc_WNTi1yaAz0SRnBIpOq-7Qg_36_18"/>
      <w:bookmarkStart w:id="1267" w:name="Tc_ZxbmUOXjaUS6jKudGaCpfA_36_15"/>
      <w:bookmarkStart w:id="1268" w:name="Tc_AyuvLxVZXkucGVxh50BeVg_36_12"/>
      <w:bookmarkStart w:id="1269" w:name="Tc_kuhLBFpNyEWJin2B6o4kxw_36_9"/>
      <w:bookmarkStart w:id="1270" w:name="Tc_TcLr_ZbHZUW22sC5eIGlKg_36_6"/>
      <w:bookmarkStart w:id="1271" w:name="Tc_iMhxoWNgoESQqkp_N08u_g_36_3"/>
      <w:bookmarkStart w:id="1272" w:name="Tc_1_ljfdxDY0S9xdyA-GQBcg_36_0"/>
      <w:bookmarkStart w:id="1273" w:name="Tc_m8GMpMsNJk6m4Tkb8qWL-w_35_24"/>
      <w:bookmarkStart w:id="1274" w:name="Tc_rJt50U9tek2ncpblrAQ44w_35_21"/>
      <w:bookmarkStart w:id="1275" w:name="Tc_WF9LU1d-TE2Cj1BOh28zJw_35_18"/>
      <w:bookmarkStart w:id="1276" w:name="Tc_EfoRp1tOQ0SSl77QwdurIw_35_15"/>
      <w:bookmarkStart w:id="1277" w:name="Tc_G2C9CvRl20OZmJIkh1ylpQ_35_12"/>
      <w:bookmarkStart w:id="1278" w:name="Tc_Sjkx9CCTgkSOD70MsrtGOA_35_9"/>
      <w:bookmarkStart w:id="1279" w:name="Tc_sh2ugH4nnkKWcJKTYYDkMg_35_6"/>
      <w:bookmarkStart w:id="1280" w:name="Tc_xBxy0nmXVEqaS61bsHI6RA_35_3"/>
      <w:bookmarkStart w:id="1281" w:name="Tc_XGkZ_H3eYUi-ZCOH8KrHEA_35_0"/>
      <w:bookmarkStart w:id="1282" w:name="Tc_V8piQyyJy0SqghpOa20k-Q_34_24"/>
      <w:bookmarkStart w:id="1283" w:name="Tc_r8IqNaZTKUaneg5c6ExOwA_34_23"/>
      <w:bookmarkStart w:id="1284" w:name="Tc_eUqVW54BL0ugicQXtgol_w_34_21"/>
      <w:bookmarkStart w:id="1285" w:name="Tc_pynhcqYAokyGJd61FMkXFg_34_20"/>
      <w:bookmarkStart w:id="1286" w:name="Tc_zd7oqvRl1kivQPmu1ZrD0w_34_18"/>
      <w:bookmarkStart w:id="1287" w:name="Tc_yPQ0KXe0AUm9923ddsIsDw_34_17"/>
      <w:bookmarkStart w:id="1288" w:name="Tc_zrcU_z1qLE2KgkvyGyTqaw_34_15"/>
      <w:bookmarkStart w:id="1289" w:name="Tc_Ep2wKgprM0Cqhw6mf2_ILg_34_14"/>
      <w:bookmarkStart w:id="1290" w:name="Tc_ntNZQtf_EES_xXoP0A2mcw_34_12"/>
      <w:bookmarkStart w:id="1291" w:name="Tc_FmJ1vfdgM0GPRfNLXAF4ZQ_34_11"/>
      <w:bookmarkStart w:id="1292" w:name="Tc_R-tsMYGCl0S8Q3tKgVQVrA_34_9"/>
      <w:bookmarkStart w:id="1293" w:name="Tc_YjpPYhi-gUOnmgr2jKHr6g_34_8"/>
      <w:bookmarkStart w:id="1294" w:name="Tc_1XpVWm_fJU2AD1GtVBxYRw_34_6"/>
      <w:bookmarkStart w:id="1295" w:name="Tc_87PHtvZeiEiMDI_EM3BX9w_34_5"/>
      <w:bookmarkStart w:id="1296" w:name="Tc_y3p6jluaRUi-RJpQgaNnzA_34_3"/>
      <w:bookmarkStart w:id="1297" w:name="Tc_slOD4Y-EckGWvo92Qggzsw_34_2"/>
      <w:bookmarkStart w:id="1298" w:name="Tc_dmUrxo7wGUe1DcVprV3IUQ_34_0"/>
      <w:bookmarkStart w:id="1299" w:name="Tc_GGfepZ4IKkKD6SqQQq6H7Q_33_0"/>
      <w:bookmarkStart w:id="1300" w:name="Tc_SUpMIHSLckyadxV1HqTjWA_32_23"/>
      <w:bookmarkStart w:id="1301" w:name="Tc_vK9-5XdfV06NDW-ZqHWHMQ_32_20"/>
      <w:bookmarkStart w:id="1302" w:name="Tc_7cEHGvWWOUCHv7VZ5fD4SA_32_17"/>
      <w:bookmarkStart w:id="1303" w:name="Tc_q4r7j4XTzk-9rgJvBakQXQ_32_14"/>
      <w:bookmarkStart w:id="1304" w:name="Tc_OHta4IUzhECZZzAu0I043A_32_11"/>
      <w:bookmarkStart w:id="1305" w:name="Tc_4ngApNsOgEmdz3YPHjtj9A_32_8"/>
      <w:bookmarkStart w:id="1306" w:name="Tc_wpdTVVHptU-RxjXeMfpZmg_32_5"/>
      <w:bookmarkStart w:id="1307" w:name="Tc_B1HhGsSaqECRxPcIJCbLnQ_32_2"/>
      <w:bookmarkStart w:id="1308" w:name="Tc_Kr0niQz0dkSGbHT4E7Heug_32_0"/>
      <w:bookmarkStart w:id="1309" w:name="Tc_r-nBvW4cOUOh87nCV7Su5A_31_21"/>
      <w:bookmarkStart w:id="1310" w:name="Tc_SDaQafPxwkO70Yj5w5Lraw_31_9"/>
      <w:bookmarkStart w:id="1311" w:name="Tc_0UO3C0LK2UaT6K3zYCJaFw_31_6"/>
      <w:bookmarkStart w:id="1312" w:name="Tc_P3_mWVZtvE64SPKJZcw3eg_31_3"/>
      <w:bookmarkStart w:id="1313" w:name="Tc_vzw_ks1540yNkHQDOFHH1Q_31_0"/>
      <w:bookmarkStart w:id="1314" w:name="Tc__cyopHFyyUuiBiLmYXWcEQ_30_24"/>
      <w:bookmarkStart w:id="1315" w:name="Tc_TekZzWSXUk-8lh7bGyCWrA_30_21"/>
      <w:bookmarkStart w:id="1316" w:name="Tc_P7ve-3EhWUW1nZ-_RNVQxA_30_18"/>
      <w:bookmarkStart w:id="1317" w:name="Tc_FtrH7wZ_JEy5w9iXzo1yrg_30_15"/>
      <w:bookmarkStart w:id="1318" w:name="Tc_qDp4OpikvEOuQwwxWF_hbw_30_12"/>
      <w:bookmarkStart w:id="1319" w:name="Tc_Fbp-jDAc-EOWFZjy3d5Epg_30_9"/>
      <w:bookmarkStart w:id="1320" w:name="Tc_EH0fcyHkbUaCGdjPJB3mJg_30_6"/>
      <w:bookmarkStart w:id="1321" w:name="Tc_aCmf3gdryUKv4k4zR8PQCw_30_3"/>
      <w:bookmarkStart w:id="1322" w:name="Tc_iX2E1Txgxk22a75R0WvJ0g_30_0"/>
      <w:bookmarkStart w:id="1323" w:name="Tc_kio5TvVhoUqMhD09S5FTTQ_29_24"/>
      <w:bookmarkStart w:id="1324" w:name="Tc_waAZymwXYkqDQGMngdqbhg_29_21"/>
      <w:bookmarkStart w:id="1325" w:name="Tc_TqXuxnhFwEGkIzt4zJuYGg_29_18"/>
      <w:bookmarkStart w:id="1326" w:name="Tc_en1M-DmcSEGlkxBouHeRsA_29_15"/>
      <w:bookmarkStart w:id="1327" w:name="Tc_eHK8XCalHkyMZv7PrM8-dA_29_12"/>
      <w:bookmarkStart w:id="1328" w:name="Tc_mjKk2zamSEGDUq2kh6yf8Q_29_9"/>
      <w:bookmarkStart w:id="1329" w:name="Tc_2rGx-8959EyK63f0MEbyHg_29_6"/>
      <w:bookmarkStart w:id="1330" w:name="Tc_lJy_y-7LsUC2NJUxJ4pkhg_29_3"/>
      <w:bookmarkStart w:id="1331" w:name="Tc_XSvS0QwN1EydvAbSds_8ZA_29_0"/>
      <w:bookmarkStart w:id="1332" w:name="Tc_-kIgrCa8VkeS4JRPE0c_Gw_28_24"/>
      <w:bookmarkStart w:id="1333" w:name="Tc_X1Jyqg53nUeNjNBZoCAmIw_28_21"/>
      <w:bookmarkStart w:id="1334" w:name="Tc_mzDk_G6kPUaZhStFiedu9w_28_18"/>
      <w:bookmarkStart w:id="1335" w:name="Tc_28l81i6_ek6c85FJSiMYLQ_28_15"/>
      <w:bookmarkStart w:id="1336" w:name="Tc_jPRw6Rg7eUmG8trxiZ2R4A_28_12"/>
      <w:bookmarkStart w:id="1337" w:name="Tc_uFfn7TTs5UW9JfBJZEfg0g_28_9"/>
      <w:bookmarkStart w:id="1338" w:name="Tc_gh8KWjIk2kOiokrsqouZLA_28_6"/>
      <w:bookmarkStart w:id="1339" w:name="Tc_iWwIFJXkcUm5ZrVKUmE0Yw_28_3"/>
      <w:bookmarkStart w:id="1340" w:name="Tc_hAu8gqMfQ0OITx79OshWlQ_28_0"/>
      <w:bookmarkStart w:id="1341" w:name="Tc_9UT5V4a9v0OS-FCzxq34YA_27_24"/>
      <w:bookmarkStart w:id="1342" w:name="Tc_qqKdWg2LDEG-_E7LvT7L5g_27_21"/>
      <w:bookmarkStart w:id="1343" w:name="Tc_3qsmeZP5a0eChMWjZPa5FA_27_18"/>
      <w:bookmarkStart w:id="1344" w:name="Tc_830433G9gkKJycI9xBTC8Q_27_15"/>
      <w:bookmarkStart w:id="1345" w:name="Tc_BNoVO8sVNEOuKhaSd1BWOw_27_12"/>
      <w:bookmarkStart w:id="1346" w:name="Tc_Tyl9nPmttk21sNQRM8ma_Q_27_9"/>
      <w:bookmarkStart w:id="1347" w:name="Tc_BChWk1UR2ESOLkeZjZhX3w_27_6"/>
      <w:bookmarkStart w:id="1348" w:name="Tc_zGhE9W-8fkGYNNNo3x68lA_27_3"/>
      <w:bookmarkStart w:id="1349" w:name="Tc_Ao_xrtVtdkCsSZNx_m1_pw_27_0"/>
      <w:bookmarkStart w:id="1350" w:name="Tc_Q1wgSjqo3kaF8dA3PfBleQ_26_24"/>
      <w:bookmarkStart w:id="1351" w:name="Tc_85HHd5GfJk25G_hhfeDKfA_26_21"/>
      <w:bookmarkStart w:id="1352" w:name="Tc_UPv8u2C8JkCTudYsu50TIQ_26_18"/>
      <w:bookmarkStart w:id="1353" w:name="Tc_euAQreoT2kmNmuwrwYfwrg_26_15"/>
      <w:bookmarkStart w:id="1354" w:name="Tc_V2B-KOR3DEiY9ufwqsvQ_A_26_12"/>
      <w:bookmarkStart w:id="1355" w:name="Tc_XfXa1yxhmUaWzKOhjVl-wQ_26_9"/>
      <w:bookmarkStart w:id="1356" w:name="Tc_AUQWjb0S7EyW04NbaSfpMA_26_6"/>
      <w:bookmarkStart w:id="1357" w:name="Tc_RKW094jfF0GzA3hCe2sLAQ_26_3"/>
      <w:bookmarkStart w:id="1358" w:name="Tc_L24IdHEaQUuYH0LkWPOqhQ_26_0"/>
      <w:bookmarkStart w:id="1359" w:name="Tc_buNFWupii0qHARhWriMPWA_25_24"/>
      <w:bookmarkStart w:id="1360" w:name="Tc_I6I0q3SMWU26j58LeQxNig_25_21"/>
      <w:bookmarkStart w:id="1361" w:name="Tc_u2uVRA5ChEWNOmHr8MFtdw_25_18"/>
      <w:bookmarkStart w:id="1362" w:name="Tc_700xvu55aUODGGvUbKsJ4g_25_15"/>
      <w:bookmarkStart w:id="1363" w:name="Tc_DY7rxcCtgUSntKNfxoGJ9g_25_12"/>
      <w:bookmarkStart w:id="1364" w:name="Tc_iL-oSrzp_keIoKv4gaGg8Q_25_9"/>
      <w:bookmarkStart w:id="1365" w:name="Tc_RiErcWs_T0ukO8MGKLqKiw_25_6"/>
      <w:bookmarkStart w:id="1366" w:name="Tc_FFQDe07pQE6QTM6NRLkzfw_25_3"/>
      <w:bookmarkStart w:id="1367" w:name="Tc_voHOlAXkDUS6_f8srVfdCQ_25_0"/>
      <w:bookmarkStart w:id="1368" w:name="Tc_tqEZI7_Tv0CY_u_P9YZHDA_24_24"/>
      <w:bookmarkStart w:id="1369" w:name="Tc_sVUCRh4x60mvrOHkdyuYnQ_24_21"/>
      <w:bookmarkStart w:id="1370" w:name="Tc_Fb9TTHbo50ud4Xhp6D4uzw_24_18"/>
      <w:bookmarkStart w:id="1371" w:name="Tc_kEbbstrMaUS7vipOTMgXcw_24_15"/>
      <w:bookmarkStart w:id="1372" w:name="Tc_I5CHHHsFSEinRXcbxQgwRw_24_12"/>
      <w:bookmarkStart w:id="1373" w:name="Tc_TikVokufakCNFc5FrJwcsw_24_9"/>
      <w:bookmarkStart w:id="1374" w:name="Tc_cJWyphW1yEusNwo466sy9g_24_6"/>
      <w:bookmarkStart w:id="1375" w:name="Tc_vuTo2AxiHkC0xWET8IxliA_24_3"/>
      <w:bookmarkStart w:id="1376" w:name="Tc_2XOX3gFmjUqrv5zZjDp0sQ_24_0"/>
      <w:bookmarkStart w:id="1377" w:name="Tc_gJMoRP3dy0ajEZtZ0Nr6Tg_23_21"/>
      <w:bookmarkStart w:id="1378" w:name="Tc_oXh6uWC6gEqMyOa0_l0pHg_23_9"/>
      <w:bookmarkStart w:id="1379" w:name="Tc_9FpZeCMvI0KSbobZprcjWA_23_6"/>
      <w:bookmarkStart w:id="1380" w:name="Tc_Hrf5AfxWYku8aeVxVk6-cg_23_3"/>
      <w:bookmarkStart w:id="1381" w:name="Tc_g8DySCA89UK45dpE9tqiKw_23_0"/>
      <w:bookmarkStart w:id="1382" w:name="Tc_9uF4J5ibrE22-H7BkV_0yA_22_0"/>
      <w:bookmarkStart w:id="1383" w:name="Tc_GfPqUw90VUuJH8lzrmdiiw_21_21"/>
      <w:bookmarkStart w:id="1384" w:name="Tc_jjlNZ5BKu0ibeN0r8ALGhQ_21_15"/>
      <w:bookmarkStart w:id="1385" w:name="Tc_apPJ9S9kMU6lNbjRWkxn-w_21_12"/>
      <w:bookmarkStart w:id="1386" w:name="Tc_21uYyo0DtEaiBUnfRtGwJQ_21_9"/>
      <w:bookmarkStart w:id="1387" w:name="Tc_PAzGdG5C3ECJVUSY2dJQ6w_21_0"/>
      <w:bookmarkStart w:id="1388" w:name="Tc_x25FFzPo_kiuc9bS31qxuw_20_24"/>
      <w:bookmarkStart w:id="1389" w:name="Tc_AjieZh0o3E-CV00rM9I5fg_20_21"/>
      <w:bookmarkStart w:id="1390" w:name="Tc_OSUqdXKk1k-59KZD8O3wSg_20_18"/>
      <w:bookmarkStart w:id="1391" w:name="Tc_FvqPTQc_A0Go56mN6JS8Bg_20_15"/>
      <w:bookmarkStart w:id="1392" w:name="Tc_tliaY56eOUe6CmvuHXlfvg_20_12"/>
      <w:bookmarkStart w:id="1393" w:name="Tc_5mgAQv9QmEC9L3MfOAFo9A_20_9"/>
      <w:bookmarkStart w:id="1394" w:name="Tc_O5VBhKE3Pk2xJoR7jycvJA_20_6"/>
      <w:bookmarkStart w:id="1395" w:name="Tc_gT6RqwwoKU6Ej-bid_6pMw_20_3"/>
      <w:bookmarkStart w:id="1396" w:name="Tc_Fj1j-hBuYk2j52A3scaI9A_20_0"/>
      <w:bookmarkStart w:id="1397" w:name="Tc_Q6BW-m0AxUW3uqHeDJkAsA_19_21"/>
      <w:bookmarkStart w:id="1398" w:name="Tc_WOiiyb7OrEidFxfWTnvbeQ_19_18"/>
      <w:bookmarkStart w:id="1399" w:name="Tc_wkgT5drBtUKrQ1mxshtuog_19_15"/>
      <w:bookmarkStart w:id="1400" w:name="Tc_Q4_XnYuY70yl_dTiEjdYDQ_19_12"/>
      <w:bookmarkStart w:id="1401" w:name="Tc_dQql68YKME-1ut9JtNd5QQ_19_9"/>
      <w:bookmarkStart w:id="1402" w:name="Tc_j8gkdoizB0mHLOwZBMplXA_19_0"/>
      <w:bookmarkStart w:id="1403" w:name="Tc_YmVr6McWUkeO8KpzRftSjw_18_24"/>
      <w:bookmarkStart w:id="1404" w:name="Tc_VyrTQXT5C0azi1uKyPslWA_18_21"/>
      <w:bookmarkStart w:id="1405" w:name="Tc_AMm2IPhpS02213qqLhuEiQ_18_18"/>
      <w:bookmarkStart w:id="1406" w:name="Tc_OWOEoa9ce06Xq4nEnfmC7g_18_15"/>
      <w:bookmarkStart w:id="1407" w:name="Tc_qHmzLPCxGkuvSw_QKkLZsg_18_12"/>
      <w:bookmarkStart w:id="1408" w:name="Tc_QwqG6booDk-mRGEQYGW0Hg_18_9"/>
      <w:bookmarkStart w:id="1409" w:name="Tc__wZ_pkmZnE6M3x5bLxzTyw_18_6"/>
      <w:bookmarkStart w:id="1410" w:name="Tc_GmoVUD2vTEuNECQG645WZQ_18_3"/>
      <w:bookmarkStart w:id="1411" w:name="Tc_fEvzQo24t0GQLTBN-JADZw_18_0"/>
      <w:bookmarkStart w:id="1412" w:name="Tc_KD5xZguxXEKaiNk45vx6Qw_17_24"/>
      <w:bookmarkStart w:id="1413" w:name="Tc_RkTviqNWj0GHyFr9fBeCNg_17_21"/>
      <w:bookmarkStart w:id="1414" w:name="Tc_g5I4SZJxVEWRgk7j5I4DcQ_17_18"/>
      <w:bookmarkStart w:id="1415" w:name="Tc_qJepFihNjU2-tNBWyAaqxw_17_15"/>
      <w:bookmarkStart w:id="1416" w:name="Tc_3ZmllQ3O5UiaLh_zrU-PpQ_17_12"/>
      <w:bookmarkStart w:id="1417" w:name="Tc_oKI8gx_WNkifIjZzM9pbjw_17_9"/>
      <w:bookmarkStart w:id="1418" w:name="Tc_udp7amyuWESFyzo869jE5Q_17_6"/>
      <w:bookmarkStart w:id="1419" w:name="Tc_Asr5Sx3WgkSvST5POzitHg_17_3"/>
      <w:bookmarkStart w:id="1420" w:name="Tc_QLuHqnINFki7o6_W2sZR4Q_17_0"/>
      <w:bookmarkStart w:id="1421" w:name="Tc_oeXkMRue-EWSpQ1hl03uAA_16_24"/>
      <w:bookmarkStart w:id="1422" w:name="Tc_lbJZrUHMeEiGHoOUPf9XVQ_16_21"/>
      <w:bookmarkStart w:id="1423" w:name="Tc_P2jS9zU8BECYidp04jOVew_16_18"/>
      <w:bookmarkStart w:id="1424" w:name="Tc_l3mF81NFYE251QjOrEY4wg_16_15"/>
      <w:bookmarkStart w:id="1425" w:name="Tc_-CMyfElblE6pDxjNLO7lwQ_16_12"/>
      <w:bookmarkStart w:id="1426" w:name="Tc_ikEtzdq67UGTnMGpvSwoHA_16_9"/>
      <w:bookmarkStart w:id="1427" w:name="Tc_aYlZhjLWfkGJnbelU5XZnQ_16_6"/>
      <w:bookmarkStart w:id="1428" w:name="Tc_DsEZHI3EqE2czl6eYZbnuQ_16_3"/>
      <w:bookmarkStart w:id="1429" w:name="Tc_8qSrU9uGdUSXLbPaHUdeJw_16_0"/>
      <w:bookmarkStart w:id="1430" w:name="Tc__QzFUUls4UWYo_V59z6r-Q_15_24"/>
      <w:bookmarkStart w:id="1431" w:name="Tc_q6w92GUMQUaPhK5moRMnUA_15_21"/>
      <w:bookmarkStart w:id="1432" w:name="Tc_MDK3Hzro-kaqpAwK0G5BUw_15_18"/>
      <w:bookmarkStart w:id="1433" w:name="Tc_RnYM3TQSmE2Q3YgFsyNx4A_15_15"/>
      <w:bookmarkStart w:id="1434" w:name="Tc_7SfyY1_GXkKuKX853D8vSA_15_12"/>
      <w:bookmarkStart w:id="1435" w:name="Tc_aSTlTGW030yK-bDk_12qmg_15_9"/>
      <w:bookmarkStart w:id="1436" w:name="Tc_PuCsC1q2DEWUZ9iYiciCCQ_15_6"/>
      <w:bookmarkStart w:id="1437" w:name="Tc_X-DrK5vI5U2d9i7xS0PzzA_15_3"/>
      <w:bookmarkStart w:id="1438" w:name="Tc_0PwpiS-AhEm4fp166Mge4Q_15_0"/>
      <w:bookmarkStart w:id="1439" w:name="Tc_qza-EhiphkmK6XN9ns6g-Q_14_24"/>
      <w:bookmarkStart w:id="1440" w:name="Tc_Q2ivFhg-tkuwZd1P_GXVDw_14_21"/>
      <w:bookmarkStart w:id="1441" w:name="Tc_27JBxepwVkSyN3iTXRy7vA_14_18"/>
      <w:bookmarkStart w:id="1442" w:name="Tc_pXq36cJXck2QYv14JnLU3Q_14_15"/>
      <w:bookmarkStart w:id="1443" w:name="Tc_9rusofI2-0yb8KVqP5qSCw_14_12"/>
      <w:bookmarkStart w:id="1444" w:name="Tc_jjBto5ZaukuU0ueEvfeJTw_14_9"/>
      <w:bookmarkStart w:id="1445" w:name="Tc_H57FvuAhVEqmu0iHrT4ecA_14_6"/>
      <w:bookmarkStart w:id="1446" w:name="Tc_IGXv67eEDUq82KR7pZPqjg_14_3"/>
      <w:bookmarkStart w:id="1447" w:name="Tc_TQOs9EsHq0i1i0T5aPc98g_14_0"/>
      <w:bookmarkStart w:id="1448" w:name="Tc_b5RYDanJDUCazXvjgOomWw_13_21"/>
      <w:bookmarkStart w:id="1449" w:name="Tc_BEavQlFiWkyMUz4mxRoktA_13_15"/>
      <w:bookmarkStart w:id="1450" w:name="Tc_Ags1VWq8oU6rODSOCqFsvA_13_12"/>
      <w:bookmarkStart w:id="1451" w:name="Tc_jB0Ju0msCUWQkuXW53PL2g_13_9"/>
      <w:bookmarkStart w:id="1452" w:name="Tc_as3hAGiGE0WBK8BsNwQRQw_13_6"/>
      <w:bookmarkStart w:id="1453" w:name="Tc_0657mfVYyEqhx_kHQK_3kQ_13_3"/>
      <w:bookmarkStart w:id="1454" w:name="Tc_o2uSQFOLgk-jSZO6iLEV9Q_13_0"/>
      <w:bookmarkStart w:id="1455" w:name="Tc_6PgOgFVrpkuvfmQRkIxRPQ_12_0"/>
      <w:bookmarkStart w:id="1456" w:name="Tc_9qfRxv4WxEi2glwp9kO1Hg_11_0"/>
      <w:bookmarkStart w:id="1457" w:name="Tc_yMieTLT96EG_t4qAm7szDA_10_18"/>
      <w:bookmarkStart w:id="1458" w:name="Tc_R59V2z-BNke7tgzkrIyxQA_10_15"/>
      <w:bookmarkStart w:id="1459" w:name="Tc__WNNC0qkjEKeYjqqn9Yt9w_10_12"/>
      <w:bookmarkStart w:id="1460" w:name="Tc_OSaHxyxa50O1Ayy8GVq0qw_10_9"/>
      <w:bookmarkStart w:id="1461" w:name="Tc_toPqfeOaEUOBAoDrudoqxg_10_6"/>
      <w:bookmarkStart w:id="1462" w:name="Tc_C7eu618wO0KEB5J1yvVXAw_10_3"/>
      <w:bookmarkStart w:id="1463" w:name="Tc_4vSXuOjJo0SEbM4pxLrLSw_10_0"/>
      <w:bookmarkStart w:id="1464" w:name="Tc_kImR7wh7gE6fwAVV0ej5Cw_9_21"/>
      <w:bookmarkStart w:id="1465" w:name="Tc_ME4XKGKCH0aU_0XHWvCOdQ_9_18"/>
      <w:bookmarkStart w:id="1466" w:name="Tc_1K74yUk1BkeoE5mtwjqCRg_9_15"/>
      <w:bookmarkStart w:id="1467" w:name="Tc_zk4dRGhaCk2mHHdULSSc0Q_9_12"/>
      <w:bookmarkStart w:id="1468" w:name="Tc_bXhYJzxM8EOupWdPaJDA-A_9_9"/>
      <w:bookmarkStart w:id="1469" w:name="Tc_bdS_gNqDDUq8mrBDMLSSQg_9_0"/>
      <w:bookmarkStart w:id="1470" w:name="Tc_GmOkeyC8UUe0a1msIkm95Q_8_21"/>
      <w:bookmarkStart w:id="1471" w:name="Tc_o_ZQ7eoZx0-bJARMXJVeAQ_8_18"/>
      <w:bookmarkStart w:id="1472" w:name="Tc_mjCTjuSTiUev5-s069YTqw_8_15"/>
      <w:bookmarkStart w:id="1473" w:name="Tc_fZ1DUt4zuUGhKpBz8ndQlQ_8_12"/>
      <w:bookmarkStart w:id="1474" w:name="Tc_5jnO6mMn70ueBK-DOlD4aw_8_0"/>
      <w:bookmarkStart w:id="1475" w:name="Tc_wPlVncvn-EywwYjKVFhw9g_7_18"/>
      <w:bookmarkStart w:id="1476" w:name="Tc_78_FZ_gG5E6o1qabUoT4dw_7_15"/>
      <w:bookmarkStart w:id="1477" w:name="Tc_yjBm-NFLfkSa62l3b-P9ig_7_12"/>
      <w:bookmarkStart w:id="1478" w:name="Tc_aKQD89kCEUKryGJvQNJWAw_7_9"/>
      <w:bookmarkStart w:id="1479" w:name="Tc_mXJhIHdhDEORigepa8wl2g_7_6"/>
      <w:bookmarkStart w:id="1480" w:name="Tc_ONnJH7zykEqFam6C5ceM6w_7_3"/>
      <w:bookmarkStart w:id="1481" w:name="Tc_M-1atMmnO02meEgtClFxDQ_7_0"/>
      <w:bookmarkStart w:id="1482" w:name="Tc_6PJDSS2ZJ0aM4tu1qXualw_6_18"/>
      <w:bookmarkStart w:id="1483" w:name="Tc_JOxxijtNbEGv2nH6tqnEgw_6_15"/>
      <w:bookmarkStart w:id="1484" w:name="Tc_QT9RnxdWE0m9Iat8LJHYXA_6_12"/>
      <w:bookmarkStart w:id="1485" w:name="Tc_0qdG_7GpiEm6kscUNGIVxg_6_9"/>
      <w:bookmarkStart w:id="1486" w:name="Tc_YJxCnQ7q4kC_MGU_tlOp7Q_6_6"/>
      <w:bookmarkStart w:id="1487" w:name="Tc_Kcy3Dzo_akSx8XB8Sm7dIw_6_3"/>
      <w:bookmarkStart w:id="1488" w:name="Tc_qhD0r-jsOkmWTdIxegVaBw_6_0"/>
      <w:bookmarkStart w:id="1489" w:name="Tc_cqHPZjs3BE6W12kiwx-uPw_5_21"/>
      <w:bookmarkStart w:id="1490" w:name="Tc_9_JA92t1jEGWf5WAtmR2bQ_5_15"/>
      <w:bookmarkStart w:id="1491" w:name="Tc_X0DzwtC6S0a_omzZaIwsOg_5_12"/>
      <w:bookmarkStart w:id="1492" w:name="Tc_z0e4yDO0-Ua7OcQk0wbKhw_5_9"/>
      <w:bookmarkStart w:id="1493" w:name="Tc_JOkHAaCqDEayaR5Js-USlA_5_6"/>
      <w:bookmarkStart w:id="1494" w:name="Tc_-uaYwPaSWEOQFHSgdZwjlQ_5_3"/>
      <w:bookmarkStart w:id="1495" w:name="Tc_cTnmLcI3JUOc9eLm9TVtrQ_5_0"/>
      <w:bookmarkStart w:id="1496" w:name="Tc_F99ifwJ0NkuDYEbWC2EMlQ_4_21"/>
      <w:bookmarkStart w:id="1497" w:name="Tc_bltgKpC4cE6PYWqQ9NJojA_4_15"/>
      <w:bookmarkStart w:id="1498" w:name="Tc_xpixbP6h9E6koKY1DEwUQQ_4_12"/>
      <w:bookmarkStart w:id="1499" w:name="Tc_6gq62yb8zUGynplfV_q1gQ_4_9"/>
      <w:bookmarkStart w:id="1500" w:name="Tc_UMSSB2yvKkmiyNM-z6x7dg_4_6"/>
      <w:bookmarkStart w:id="1501" w:name="Tc_qPU5IHaO6UyuUvk6SZtghA_4_3"/>
      <w:bookmarkStart w:id="1502" w:name="Tc_ZpBRhDTlTkSxFMayO7m9VA_4_0"/>
      <w:bookmarkStart w:id="1503" w:name="Tc_X-8DtCscXkCCuuvVGnbvLA_3_23"/>
      <w:bookmarkStart w:id="1504" w:name="Tc_jfKdXWOv9UK5rdPcxg3hew_3_21"/>
      <w:bookmarkStart w:id="1505" w:name="Tc_n0o7lVORMkClZd3Wc0N9fw_3_20"/>
      <w:bookmarkStart w:id="1506" w:name="Tc_5I8BIBxCsEW6OFxbjYUAhg_3_17"/>
      <w:bookmarkStart w:id="1507" w:name="Tc_27-3ngcqtEqCF4cLZBT6aA_3_14"/>
      <w:bookmarkStart w:id="1508" w:name="Tc_v9vZFmdHaEC5p80S8UWYXw_3_11"/>
      <w:bookmarkStart w:id="1509" w:name="Tc_APJg4EIqxkuzj5LdMsdeIQ_3_8"/>
      <w:bookmarkStart w:id="1510" w:name="Tc_1iAtAi9fFEKI8EMTlfJv5w_3_5"/>
      <w:bookmarkStart w:id="1511" w:name="Tc_-Sy45PcJR0qBLwovnGY2Vg_3_2"/>
      <w:bookmarkStart w:id="1512" w:name="Tc_-N4CnK1-Q0qL5zKWM-q9JQ_3_0"/>
      <w:bookmarkStart w:id="1513" w:name="Tc_6k0zJcoHxEWPFOiGm5a6Lw_2_0"/>
      <w:bookmarkStart w:id="1514" w:name="Tc_ZKjD7HXsYU-xDucVld_tyw_1_23"/>
      <w:bookmarkStart w:id="1515" w:name="Tc_kfje5KbJ5UyGZPBS4i_3Hg_1_20"/>
      <w:bookmarkStart w:id="1516" w:name="Tc_CvKBbngy2EGjjfxzYBBU6Q_1_17"/>
      <w:bookmarkStart w:id="1517" w:name="Tc_Qgu14q0weUODI95C0FISXA_1_14"/>
      <w:bookmarkStart w:id="1518" w:name="Tc_ES0FlZO1Fkmb6sjwAgd6PQ_1_11"/>
      <w:bookmarkStart w:id="1519" w:name="Tc_pO2GjcaW8Ee0r8Yq-VFr7w_1_8"/>
      <w:bookmarkStart w:id="1520" w:name="Tc_Xq_uDohN-0OX6fdiajPgxA_1_5"/>
      <w:bookmarkStart w:id="1521" w:name="Tc_yMKcCoDtTkukw1rSW5T06g_1_2"/>
      <w:bookmarkStart w:id="1522" w:name="Tc_AbepGSOlrEGw62NoDJ9WWQ_1_0"/>
      <w:bookmarkStart w:id="1523" w:name="_8261bc2b_4e11_4498_8f3e_686743ea6d6f"/>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r>
        <w:rPr>
          <w:rFonts w:ascii="Times New Roman;Times;serif" w:hAnsi="Times New Roman;Times;serif"/>
          <w:b/>
          <w:i w:val="false"/>
          <w:caps w:val="false"/>
          <w:smallCaps w:val="false"/>
          <w:sz w:val="20"/>
        </w:rPr>
        <w:t>5.</w:t>
      </w:r>
      <w:r>
        <w:rPr>
          <w:rFonts w:ascii="Times New Roman;Times;serif" w:hAnsi="Times New Roman;Times;serif"/>
          <w:b/>
          <w:sz w:val="20"/>
        </w:rPr>
        <w:t>Loans Receivable (continued)</w:t>
      </w:r>
    </w:p>
    <w:tbl>
      <w:tblPr>
        <w:tblW w:w="10205" w:type="dxa"/>
        <w:jc w:val="left"/>
        <w:tblInd w:w="0" w:type="dxa"/>
        <w:tblLayout w:type="fixed"/>
        <w:tblCellMar>
          <w:top w:w="0" w:type="dxa"/>
          <w:left w:w="0" w:type="dxa"/>
          <w:bottom w:w="0" w:type="dxa"/>
          <w:right w:w="0" w:type="dxa"/>
        </w:tblCellMar>
      </w:tblPr>
      <w:tblGrid>
        <w:gridCol w:w="1807"/>
        <w:gridCol w:w="326"/>
        <w:gridCol w:w="181"/>
        <w:gridCol w:w="511"/>
        <w:gridCol w:w="326"/>
        <w:gridCol w:w="181"/>
        <w:gridCol w:w="511"/>
        <w:gridCol w:w="326"/>
        <w:gridCol w:w="181"/>
        <w:gridCol w:w="511"/>
        <w:gridCol w:w="326"/>
        <w:gridCol w:w="181"/>
        <w:gridCol w:w="511"/>
        <w:gridCol w:w="326"/>
        <w:gridCol w:w="181"/>
        <w:gridCol w:w="511"/>
        <w:gridCol w:w="326"/>
        <w:gridCol w:w="181"/>
        <w:gridCol w:w="511"/>
        <w:gridCol w:w="326"/>
        <w:gridCol w:w="216"/>
        <w:gridCol w:w="610"/>
        <w:gridCol w:w="326"/>
        <w:gridCol w:w="181"/>
        <w:gridCol w:w="631"/>
      </w:tblGrid>
      <w:tr>
        <w:trPr/>
        <w:tc>
          <w:tcPr>
            <w:tcW w:w="18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147445" cy="175260"/>
                      <wp:effectExtent l="0" t="0" r="0" b="0"/>
                      <wp:wrapNone/>
                      <wp:docPr id="213" name="Frame212"/>
                      <a:graphic xmlns:a="http://schemas.openxmlformats.org/drawingml/2006/main">
                        <a:graphicData uri="http://schemas.microsoft.com/office/word/2010/wordprocessingShape">
                          <wps:wsp>
                            <wps:cNvSpPr txBox="1"/>
                            <wps:spPr>
                              <a:xfrm>
                                <a:off x="0" y="0"/>
                                <a:ext cx="1147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07010" cy="175260"/>
                      <wp:effectExtent l="0" t="0" r="0" b="0"/>
                      <wp:wrapNone/>
                      <wp:docPr id="214" name="Frame2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14935" cy="175260"/>
                      <wp:effectExtent l="0" t="0" r="0" b="0"/>
                      <wp:wrapNone/>
                      <wp:docPr id="215" name="Frame21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324485" cy="175260"/>
                      <wp:effectExtent l="0" t="0" r="0" b="0"/>
                      <wp:wrapNone/>
                      <wp:docPr id="216" name="Frame215"/>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7" name="Frame2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14935" cy="175260"/>
                      <wp:effectExtent l="0" t="0" r="0" b="0"/>
                      <wp:wrapNone/>
                      <wp:docPr id="218" name="Frame21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324485" cy="175260"/>
                      <wp:effectExtent l="0" t="0" r="0" b="0"/>
                      <wp:wrapNone/>
                      <wp:docPr id="219" name="Frame218"/>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20" name="Frame2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14935" cy="175260"/>
                      <wp:effectExtent l="0" t="0" r="0" b="0"/>
                      <wp:wrapNone/>
                      <wp:docPr id="221" name="Frame22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324485" cy="175260"/>
                      <wp:effectExtent l="0" t="0" r="0" b="0"/>
                      <wp:wrapNone/>
                      <wp:docPr id="222" name="Frame221"/>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07010" cy="175260"/>
                      <wp:effectExtent l="0" t="0" r="0" b="0"/>
                      <wp:wrapNone/>
                      <wp:docPr id="223" name="Frame2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14935" cy="175260"/>
                      <wp:effectExtent l="0" t="0" r="0" b="0"/>
                      <wp:wrapNone/>
                      <wp:docPr id="224" name="Frame22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324485" cy="175260"/>
                      <wp:effectExtent l="0" t="0" r="0" b="0"/>
                      <wp:wrapNone/>
                      <wp:docPr id="225" name="Frame224"/>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07010" cy="175260"/>
                      <wp:effectExtent l="0" t="0" r="0" b="0"/>
                      <wp:wrapNone/>
                      <wp:docPr id="226" name="Frame2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14935" cy="175260"/>
                      <wp:effectExtent l="0" t="0" r="0" b="0"/>
                      <wp:wrapNone/>
                      <wp:docPr id="227" name="Frame22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324485" cy="175260"/>
                      <wp:effectExtent l="0" t="0" r="0" b="0"/>
                      <wp:wrapNone/>
                      <wp:docPr id="228" name="Frame227"/>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07010" cy="175260"/>
                      <wp:effectExtent l="0" t="0" r="0" b="0"/>
                      <wp:wrapNone/>
                      <wp:docPr id="229" name="Frame2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14935" cy="175260"/>
                      <wp:effectExtent l="0" t="0" r="0" b="0"/>
                      <wp:wrapNone/>
                      <wp:docPr id="230" name="Frame22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324485" cy="175260"/>
                      <wp:effectExtent l="0" t="0" r="0" b="0"/>
                      <wp:wrapNone/>
                      <wp:docPr id="231" name="Frame23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07010" cy="175260"/>
                      <wp:effectExtent l="0" t="0" r="0" b="0"/>
                      <wp:wrapNone/>
                      <wp:docPr id="232" name="Frame2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37160" cy="175260"/>
                      <wp:effectExtent l="0" t="0" r="0" b="0"/>
                      <wp:wrapNone/>
                      <wp:docPr id="233" name="Frame232"/>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387350" cy="175260"/>
                      <wp:effectExtent l="0" t="0" r="0" b="0"/>
                      <wp:wrapNone/>
                      <wp:docPr id="234" name="Frame233"/>
                      <a:graphic xmlns:a="http://schemas.openxmlformats.org/drawingml/2006/main">
                        <a:graphicData uri="http://schemas.microsoft.com/office/word/2010/wordprocessingShape">
                          <wps:wsp>
                            <wps:cNvSpPr txBox="1"/>
                            <wps:spPr>
                              <a:xfrm>
                                <a:off x="0" y="0"/>
                                <a:ext cx="387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07010" cy="175260"/>
                      <wp:effectExtent l="0" t="0" r="0" b="0"/>
                      <wp:wrapNone/>
                      <wp:docPr id="235" name="Frame2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14935" cy="175260"/>
                      <wp:effectExtent l="0" t="0" r="0" b="0"/>
                      <wp:wrapNone/>
                      <wp:docPr id="236" name="Frame23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400685" cy="175260"/>
                      <wp:effectExtent l="0" t="0" r="0" b="0"/>
                      <wp:wrapNone/>
                      <wp:docPr id="237" name="Frame236"/>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0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December 31, 2024</w:t>
            </w:r>
          </w:p>
        </w:tc>
        <w:tc>
          <w:tcPr>
            <w:tcW w:w="326" w:type="dxa"/>
            <w:tcBorders/>
            <w:vAlign w:val="center"/>
          </w:tcPr>
          <w:p>
            <w:pPr>
              <w:pStyle w:val="TableContents"/>
              <w:bidi w:val="0"/>
              <w:spacing w:before="0" w:after="0"/>
              <w:ind w:left="0" w:right="0" w:hanging="0"/>
              <w:jc w:val="center"/>
              <w:rPr/>
            </w:pPr>
            <w:r>
              <w:rPr/>
              <w:t>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center"/>
              <w:rPr/>
            </w:pPr>
            <w:r>
              <w:rPr/>
              <w:t>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vAlign w:val="center"/>
          </w:tcPr>
          <w:p>
            <w:pPr>
              <w:pStyle w:val="TableContents"/>
              <w:bidi w:val="0"/>
              <w:spacing w:before="0" w:after="0"/>
              <w:ind w:left="0" w:right="0" w:hanging="0"/>
              <w:jc w:val="center"/>
              <w:rPr/>
            </w:pPr>
            <w:r>
              <w:rPr/>
              <w:t>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Prior</w:t>
            </w:r>
          </w:p>
        </w:tc>
        <w:tc>
          <w:tcPr>
            <w:tcW w:w="326" w:type="dxa"/>
            <w:tcBorders/>
            <w:vAlign w:val="center"/>
          </w:tcPr>
          <w:p>
            <w:pPr>
              <w:pStyle w:val="TableContents"/>
              <w:bidi w:val="0"/>
              <w:spacing w:before="0" w:after="0"/>
              <w:ind w:left="0" w:right="0" w:hanging="0"/>
              <w:jc w:val="center"/>
              <w:rPr/>
            </w:pPr>
            <w:r>
              <w:rPr/>
              <w:t>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Revolvers</w:t>
            </w:r>
          </w:p>
        </w:tc>
        <w:tc>
          <w:tcPr>
            <w:tcW w:w="326" w:type="dxa"/>
            <w:tcBorders/>
            <w:vAlign w:val="center"/>
          </w:tcPr>
          <w:p>
            <w:pPr>
              <w:pStyle w:val="TableContents"/>
              <w:bidi w:val="0"/>
              <w:spacing w:before="0" w:after="0"/>
              <w:ind w:left="0" w:right="0" w:hanging="0"/>
              <w:jc w:val="center"/>
              <w:rPr/>
            </w:pPr>
            <w:r>
              <w:rPr/>
              <w:t>    </w:t>
            </w:r>
          </w:p>
        </w:tc>
        <w:tc>
          <w:tcPr>
            <w:tcW w:w="8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807"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Pass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r>
      <w:tr>
        <w:trPr/>
        <w:tc>
          <w:tcPr>
            <w:tcW w:w="180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First Mortgage</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5,421</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4,330</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7,305</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26,489</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21,225</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58,590</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123,360</w:t>
            </w:r>
          </w:p>
        </w:tc>
      </w:tr>
      <w:tr>
        <w:trPr/>
        <w:tc>
          <w:tcPr>
            <w:tcW w:w="180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Purchased and Participations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8,712</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61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8,712</w:t>
            </w:r>
          </w:p>
        </w:tc>
      </w:tr>
      <w:tr>
        <w:trPr/>
        <w:tc>
          <w:tcPr>
            <w:tcW w:w="180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Home improvement, first mortgage</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195</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6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195</w:t>
            </w:r>
          </w:p>
        </w:tc>
      </w:tr>
      <w:tr>
        <w:trPr/>
        <w:tc>
          <w:tcPr>
            <w:tcW w:w="180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Home equity line of credit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61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6,050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6,050</w:t>
            </w:r>
          </w:p>
        </w:tc>
      </w:tr>
      <w:tr>
        <w:trPr/>
        <w:tc>
          <w:tcPr>
            <w:tcW w:w="180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Commercial construction</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6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22,759</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22,759</w:t>
            </w:r>
          </w:p>
        </w:tc>
      </w:tr>
      <w:tr>
        <w:trPr/>
        <w:tc>
          <w:tcPr>
            <w:tcW w:w="180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Commercial and industrial</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18,396</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2,833</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61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21,769</w:t>
            </w:r>
          </w:p>
        </w:tc>
      </w:tr>
      <w:tr>
        <w:trPr/>
        <w:tc>
          <w:tcPr>
            <w:tcW w:w="180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Commercial real estate</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30,240</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14,969</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45,209</w:t>
            </w:r>
          </w:p>
        </w:tc>
      </w:tr>
      <w:tr>
        <w:trPr/>
        <w:tc>
          <w:tcPr>
            <w:tcW w:w="180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Commercial line of credit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12,531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12,531</w:t>
            </w:r>
          </w:p>
        </w:tc>
      </w:tr>
      <w:tr>
        <w:trPr/>
        <w:tc>
          <w:tcPr>
            <w:tcW w:w="180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pass</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54,057</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19,839</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10,138</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26,489</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21,225</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67,497</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6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41,340</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240,585</w:t>
            </w:r>
          </w:p>
        </w:tc>
      </w:tr>
      <w:tr>
        <w:trPr/>
        <w:tc>
          <w:tcPr>
            <w:tcW w:w="1807"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Special Mention</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610"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pPr>
            <w:r>
              <w:rPr/>
              <w:t>  </w:t>
            </w:r>
          </w:p>
        </w:tc>
      </w:tr>
      <w:tr>
        <w:trPr/>
        <w:tc>
          <w:tcPr>
            <w:tcW w:w="180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First Mortgage</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440</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6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440</w:t>
            </w:r>
          </w:p>
        </w:tc>
      </w:tr>
      <w:tr>
        <w:trPr/>
        <w:tc>
          <w:tcPr>
            <w:tcW w:w="180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Purchased and Participations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61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pPr>
            <w:r>
              <w:rPr/>
              <w:t>—</w:t>
            </w:r>
          </w:p>
        </w:tc>
      </w:tr>
      <w:tr>
        <w:trPr/>
        <w:tc>
          <w:tcPr>
            <w:tcW w:w="180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Home improvement, first mortgage</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6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r>
      <w:tr>
        <w:trPr/>
        <w:tc>
          <w:tcPr>
            <w:tcW w:w="180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Home equity line of credit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61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pPr>
            <w:r>
              <w:rPr/>
              <w:t>—</w:t>
            </w:r>
          </w:p>
        </w:tc>
      </w:tr>
      <w:tr>
        <w:trPr/>
        <w:tc>
          <w:tcPr>
            <w:tcW w:w="180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Commercial construction</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6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r>
      <w:tr>
        <w:trPr/>
        <w:tc>
          <w:tcPr>
            <w:tcW w:w="180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Commercial and industrial</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61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pPr>
            <w:r>
              <w:rPr/>
              <w:t>—</w:t>
            </w:r>
          </w:p>
        </w:tc>
      </w:tr>
      <w:tr>
        <w:trPr/>
        <w:tc>
          <w:tcPr>
            <w:tcW w:w="1807" w:type="dxa"/>
            <w:tcBorders/>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Commercial real estate</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235</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5,400</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6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5,635</w:t>
            </w:r>
          </w:p>
        </w:tc>
      </w:tr>
      <w:tr>
        <w:trPr/>
        <w:tc>
          <w:tcPr>
            <w:tcW w:w="1807"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Commercial line of credit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1807" w:type="dxa"/>
            <w:tcBorders/>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Total special mention</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235</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5,400</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440</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6,075</w:t>
            </w:r>
          </w:p>
        </w:tc>
      </w:tr>
      <w:tr>
        <w:trPr/>
        <w:tc>
          <w:tcPr>
            <w:tcW w:w="1807" w:type="dxa"/>
            <w:tcBorders/>
            <w:shd w:fill="CCEEFF" w:val="clear"/>
            <w:vAlign w:val="center"/>
          </w:tcPr>
          <w:p>
            <w:pPr>
              <w:pStyle w:val="TableContents"/>
              <w:bidi w:val="0"/>
              <w:spacing w:before="0" w:after="0"/>
              <w:ind w:left="0" w:right="0" w:hanging="0"/>
              <w:jc w:val="left"/>
              <w:rPr>
                <w:rFonts w:ascii="Times New Roman;Times;serif" w:hAnsi="Times New Roman;Times;serif"/>
                <w:b/>
                <w:color w:val="231F20"/>
                <w:sz w:val="14"/>
              </w:rPr>
            </w:pPr>
            <w:r>
              <w:rPr>
                <w:rFonts w:ascii="Times New Roman;Times;serif" w:hAnsi="Times New Roman;Times;serif"/>
                <w:b/>
                <w:color w:val="231F20"/>
                <w:sz w:val="14"/>
              </w:rPr>
              <w:t>Substandard</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511" w:type="dxa"/>
            <w:tcBorders/>
            <w:shd w:fill="CCEEFF" w:val="clear"/>
            <w:vAlign w:val="center"/>
          </w:tcPr>
          <w:p>
            <w:pPr>
              <w:pStyle w:val="TableContents"/>
              <w:bidi w:val="0"/>
              <w:spacing w:before="0" w:after="0"/>
              <w:ind w:left="0" w:right="0" w:hanging="0"/>
              <w:jc w:val="right"/>
              <w:rPr>
                <w:color w:val="231F20"/>
              </w:rPr>
            </w:pPr>
            <w:r>
              <w:rPr>
                <w:color w:val="231F20"/>
              </w:rPr>
              <w:t>  </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511" w:type="dxa"/>
            <w:tcBorders/>
            <w:shd w:fill="CCEEFF" w:val="clear"/>
            <w:vAlign w:val="center"/>
          </w:tcPr>
          <w:p>
            <w:pPr>
              <w:pStyle w:val="TableContents"/>
              <w:bidi w:val="0"/>
              <w:spacing w:before="0" w:after="0"/>
              <w:ind w:left="0" w:right="0" w:hanging="0"/>
              <w:jc w:val="right"/>
              <w:rPr>
                <w:color w:val="231F20"/>
              </w:rPr>
            </w:pPr>
            <w:r>
              <w:rPr>
                <w:color w:val="231F20"/>
              </w:rPr>
              <w:t>  </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511" w:type="dxa"/>
            <w:tcBorders/>
            <w:shd w:fill="CCEEFF" w:val="clear"/>
            <w:vAlign w:val="center"/>
          </w:tcPr>
          <w:p>
            <w:pPr>
              <w:pStyle w:val="TableContents"/>
              <w:bidi w:val="0"/>
              <w:spacing w:before="0" w:after="0"/>
              <w:ind w:left="0" w:right="0" w:hanging="0"/>
              <w:jc w:val="right"/>
              <w:rPr>
                <w:color w:val="231F20"/>
              </w:rPr>
            </w:pPr>
            <w:r>
              <w:rPr>
                <w:color w:val="231F20"/>
              </w:rPr>
              <w:t>  </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511" w:type="dxa"/>
            <w:tcBorders/>
            <w:shd w:fill="CCEEFF" w:val="clear"/>
            <w:vAlign w:val="center"/>
          </w:tcPr>
          <w:p>
            <w:pPr>
              <w:pStyle w:val="TableContents"/>
              <w:bidi w:val="0"/>
              <w:spacing w:before="0" w:after="0"/>
              <w:ind w:left="0" w:right="0" w:hanging="0"/>
              <w:jc w:val="right"/>
              <w:rPr>
                <w:color w:val="231F20"/>
              </w:rPr>
            </w:pPr>
            <w:r>
              <w:rPr>
                <w:color w:val="231F20"/>
              </w:rPr>
              <w:t>  </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511" w:type="dxa"/>
            <w:tcBorders/>
            <w:shd w:fill="CCEEFF" w:val="clear"/>
            <w:vAlign w:val="center"/>
          </w:tcPr>
          <w:p>
            <w:pPr>
              <w:pStyle w:val="TableContents"/>
              <w:bidi w:val="0"/>
              <w:spacing w:before="0" w:after="0"/>
              <w:ind w:left="0" w:right="0" w:hanging="0"/>
              <w:jc w:val="right"/>
              <w:rPr>
                <w:color w:val="231F20"/>
              </w:rPr>
            </w:pPr>
            <w:r>
              <w:rPr>
                <w:color w:val="231F20"/>
              </w:rPr>
              <w:t>  </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511" w:type="dxa"/>
            <w:tcBorders/>
            <w:shd w:fill="CCEEFF" w:val="clear"/>
            <w:vAlign w:val="center"/>
          </w:tcPr>
          <w:p>
            <w:pPr>
              <w:pStyle w:val="TableContents"/>
              <w:bidi w:val="0"/>
              <w:spacing w:before="0" w:after="0"/>
              <w:ind w:left="0" w:right="0" w:hanging="0"/>
              <w:jc w:val="right"/>
              <w:rPr>
                <w:color w:val="231F20"/>
              </w:rPr>
            </w:pPr>
            <w:r>
              <w:rPr>
                <w:color w:val="231F20"/>
              </w:rPr>
              <w:t>  </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610" w:type="dxa"/>
            <w:tcBorders/>
            <w:shd w:fill="CCEEFF" w:val="clear"/>
            <w:vAlign w:val="center"/>
          </w:tcPr>
          <w:p>
            <w:pPr>
              <w:pStyle w:val="TableContents"/>
              <w:bidi w:val="0"/>
              <w:spacing w:before="0" w:after="0"/>
              <w:ind w:left="0" w:right="0" w:hanging="0"/>
              <w:jc w:val="right"/>
              <w:rPr>
                <w:color w:val="231F20"/>
              </w:rPr>
            </w:pPr>
            <w:r>
              <w:rPr>
                <w:color w:val="231F20"/>
              </w:rPr>
              <w:t>  </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18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631" w:type="dxa"/>
            <w:tcBorders/>
            <w:shd w:fill="CCEEFF" w:val="clear"/>
            <w:vAlign w:val="center"/>
          </w:tcPr>
          <w:p>
            <w:pPr>
              <w:pStyle w:val="TableContents"/>
              <w:bidi w:val="0"/>
              <w:spacing w:before="0" w:after="0"/>
              <w:ind w:left="0" w:right="0" w:hanging="0"/>
              <w:jc w:val="right"/>
              <w:rPr>
                <w:color w:val="231F20"/>
              </w:rPr>
            </w:pPr>
            <w:r>
              <w:rPr>
                <w:color w:val="231F20"/>
              </w:rPr>
              <w:t>  </w:t>
            </w:r>
          </w:p>
        </w:tc>
      </w:tr>
      <w:tr>
        <w:trPr/>
        <w:tc>
          <w:tcPr>
            <w:tcW w:w="1807" w:type="dxa"/>
            <w:tcBorders/>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First Mortgage</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473</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470</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602</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6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1,545</w:t>
            </w:r>
          </w:p>
        </w:tc>
      </w:tr>
      <w:tr>
        <w:trPr/>
        <w:tc>
          <w:tcPr>
            <w:tcW w:w="1807"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Purchased and Participations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61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pPr>
            <w:r>
              <w:rPr/>
              <w:t>—</w:t>
            </w:r>
          </w:p>
        </w:tc>
      </w:tr>
      <w:tr>
        <w:trPr/>
        <w:tc>
          <w:tcPr>
            <w:tcW w:w="1807" w:type="dxa"/>
            <w:tcBorders/>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Home improvement, first mortgage</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6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r>
      <w:tr>
        <w:trPr/>
        <w:tc>
          <w:tcPr>
            <w:tcW w:w="1807"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Home equity line of credit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61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pPr>
            <w:r>
              <w:rPr/>
              <w:t>—</w:t>
            </w:r>
          </w:p>
        </w:tc>
      </w:tr>
      <w:tr>
        <w:trPr/>
        <w:tc>
          <w:tcPr>
            <w:tcW w:w="1807" w:type="dxa"/>
            <w:tcBorders/>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Commercial construction</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6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r>
      <w:tr>
        <w:trPr/>
        <w:tc>
          <w:tcPr>
            <w:tcW w:w="180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Commercial and industrial</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61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pPr>
            <w:r>
              <w:rPr/>
              <w:t>—</w:t>
            </w:r>
          </w:p>
        </w:tc>
      </w:tr>
      <w:tr>
        <w:trPr/>
        <w:tc>
          <w:tcPr>
            <w:tcW w:w="1807" w:type="dxa"/>
            <w:tcBorders/>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Commercial real estate</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6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r>
      <w:tr>
        <w:trPr/>
        <w:tc>
          <w:tcPr>
            <w:tcW w:w="1807"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Commercial line of credit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1807" w:type="dxa"/>
            <w:tcBorders/>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Total substandard</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473</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470</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602</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1,545</w:t>
            </w:r>
          </w:p>
        </w:tc>
      </w:tr>
      <w:tr>
        <w:trPr/>
        <w:tc>
          <w:tcPr>
            <w:tcW w:w="1807"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54,292</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25,239</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10,138</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26,962</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21,695</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68,539</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41,340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248,205</w:t>
            </w:r>
          </w:p>
        </w:tc>
      </w:tr>
      <w:tr>
        <w:trPr/>
        <w:tc>
          <w:tcPr>
            <w:tcW w:w="1807" w:type="dxa"/>
            <w:tcBorders/>
            <w:vAlign w:val="center"/>
          </w:tcPr>
          <w:p>
            <w:pPr>
              <w:pStyle w:val="TableContents"/>
              <w:bidi w:val="0"/>
              <w:spacing w:before="0" w:after="0"/>
              <w:ind w:left="0" w:right="0" w:hanging="0"/>
              <w:jc w:val="left"/>
              <w:rPr>
                <w:rFonts w:ascii="Times New Roman;Times;serif" w:hAnsi="Times New Roman;Times;serif"/>
                <w:b/>
                <w:color w:val="231F20"/>
                <w:sz w:val="14"/>
              </w:rPr>
            </w:pPr>
            <w:r>
              <w:rPr>
                <w:rFonts w:ascii="Times New Roman;Times;serif" w:hAnsi="Times New Roman;Times;serif"/>
                <w:b/>
                <w:color w:val="231F20"/>
                <w:sz w:val="14"/>
              </w:rPr>
              <w:t>Current year to date period gross write-offs</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181" w:type="dxa"/>
            <w:tcBorders/>
            <w:vAlign w:val="center"/>
          </w:tcPr>
          <w:p>
            <w:pPr>
              <w:pStyle w:val="TableContents"/>
              <w:bidi w:val="0"/>
              <w:spacing w:before="0" w:after="0"/>
              <w:ind w:left="0" w:right="0" w:hanging="0"/>
              <w:jc w:val="left"/>
              <w:rPr>
                <w:color w:val="231F20"/>
              </w:rPr>
            </w:pPr>
            <w:r>
              <w:rPr>
                <w:color w:val="231F20"/>
              </w:rPr>
              <w:t> </w:t>
            </w:r>
          </w:p>
        </w:tc>
        <w:tc>
          <w:tcPr>
            <w:tcW w:w="511" w:type="dxa"/>
            <w:tcBorders/>
            <w:vAlign w:val="center"/>
          </w:tcPr>
          <w:p>
            <w:pPr>
              <w:pStyle w:val="TableContents"/>
              <w:bidi w:val="0"/>
              <w:spacing w:before="0" w:after="0"/>
              <w:ind w:left="0" w:right="0" w:hanging="0"/>
              <w:jc w:val="right"/>
              <w:rPr>
                <w:color w:val="231F20"/>
              </w:rPr>
            </w:pPr>
            <w:r>
              <w:rPr>
                <w:color w:val="231F20"/>
              </w:rPr>
              <w:t>  </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181" w:type="dxa"/>
            <w:tcBorders/>
            <w:vAlign w:val="center"/>
          </w:tcPr>
          <w:p>
            <w:pPr>
              <w:pStyle w:val="TableContents"/>
              <w:bidi w:val="0"/>
              <w:spacing w:before="0" w:after="0"/>
              <w:ind w:left="0" w:right="0" w:hanging="0"/>
              <w:jc w:val="left"/>
              <w:rPr>
                <w:color w:val="231F20"/>
              </w:rPr>
            </w:pPr>
            <w:r>
              <w:rPr>
                <w:color w:val="231F20"/>
              </w:rPr>
              <w:t> </w:t>
            </w:r>
          </w:p>
        </w:tc>
        <w:tc>
          <w:tcPr>
            <w:tcW w:w="511" w:type="dxa"/>
            <w:tcBorders/>
            <w:vAlign w:val="center"/>
          </w:tcPr>
          <w:p>
            <w:pPr>
              <w:pStyle w:val="TableContents"/>
              <w:bidi w:val="0"/>
              <w:spacing w:before="0" w:after="0"/>
              <w:ind w:left="0" w:right="0" w:hanging="0"/>
              <w:jc w:val="right"/>
              <w:rPr>
                <w:color w:val="231F20"/>
              </w:rPr>
            </w:pPr>
            <w:r>
              <w:rPr>
                <w:color w:val="231F20"/>
              </w:rPr>
              <w:t>  </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181" w:type="dxa"/>
            <w:tcBorders/>
            <w:vAlign w:val="center"/>
          </w:tcPr>
          <w:p>
            <w:pPr>
              <w:pStyle w:val="TableContents"/>
              <w:bidi w:val="0"/>
              <w:spacing w:before="0" w:after="0"/>
              <w:ind w:left="0" w:right="0" w:hanging="0"/>
              <w:jc w:val="left"/>
              <w:rPr>
                <w:color w:val="231F20"/>
              </w:rPr>
            </w:pPr>
            <w:r>
              <w:rPr>
                <w:color w:val="231F20"/>
              </w:rPr>
              <w:t> </w:t>
            </w:r>
          </w:p>
        </w:tc>
        <w:tc>
          <w:tcPr>
            <w:tcW w:w="511" w:type="dxa"/>
            <w:tcBorders/>
            <w:vAlign w:val="center"/>
          </w:tcPr>
          <w:p>
            <w:pPr>
              <w:pStyle w:val="TableContents"/>
              <w:bidi w:val="0"/>
              <w:spacing w:before="0" w:after="0"/>
              <w:ind w:left="0" w:right="0" w:hanging="0"/>
              <w:jc w:val="right"/>
              <w:rPr>
                <w:color w:val="231F20"/>
              </w:rPr>
            </w:pPr>
            <w:r>
              <w:rPr>
                <w:color w:val="231F20"/>
              </w:rPr>
              <w:t>  </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181" w:type="dxa"/>
            <w:tcBorders/>
            <w:vAlign w:val="center"/>
          </w:tcPr>
          <w:p>
            <w:pPr>
              <w:pStyle w:val="TableContents"/>
              <w:bidi w:val="0"/>
              <w:spacing w:before="0" w:after="0"/>
              <w:ind w:left="0" w:right="0" w:hanging="0"/>
              <w:jc w:val="left"/>
              <w:rPr>
                <w:color w:val="231F20"/>
              </w:rPr>
            </w:pPr>
            <w:r>
              <w:rPr>
                <w:color w:val="231F20"/>
              </w:rPr>
              <w:t> </w:t>
            </w:r>
          </w:p>
        </w:tc>
        <w:tc>
          <w:tcPr>
            <w:tcW w:w="511" w:type="dxa"/>
            <w:tcBorders/>
            <w:vAlign w:val="center"/>
          </w:tcPr>
          <w:p>
            <w:pPr>
              <w:pStyle w:val="TableContents"/>
              <w:bidi w:val="0"/>
              <w:spacing w:before="0" w:after="0"/>
              <w:ind w:left="0" w:right="0" w:hanging="0"/>
              <w:jc w:val="right"/>
              <w:rPr>
                <w:color w:val="231F20"/>
              </w:rPr>
            </w:pPr>
            <w:r>
              <w:rPr>
                <w:color w:val="231F20"/>
              </w:rPr>
              <w:t>  </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181" w:type="dxa"/>
            <w:tcBorders/>
            <w:vAlign w:val="center"/>
          </w:tcPr>
          <w:p>
            <w:pPr>
              <w:pStyle w:val="TableContents"/>
              <w:bidi w:val="0"/>
              <w:spacing w:before="0" w:after="0"/>
              <w:ind w:left="0" w:right="0" w:hanging="0"/>
              <w:jc w:val="left"/>
              <w:rPr>
                <w:color w:val="231F20"/>
              </w:rPr>
            </w:pPr>
            <w:r>
              <w:rPr>
                <w:color w:val="231F20"/>
              </w:rPr>
              <w:t> </w:t>
            </w:r>
          </w:p>
        </w:tc>
        <w:tc>
          <w:tcPr>
            <w:tcW w:w="511" w:type="dxa"/>
            <w:tcBorders/>
            <w:vAlign w:val="center"/>
          </w:tcPr>
          <w:p>
            <w:pPr>
              <w:pStyle w:val="TableContents"/>
              <w:bidi w:val="0"/>
              <w:spacing w:before="0" w:after="0"/>
              <w:ind w:left="0" w:right="0" w:hanging="0"/>
              <w:jc w:val="right"/>
              <w:rPr>
                <w:color w:val="231F20"/>
              </w:rPr>
            </w:pPr>
            <w:r>
              <w:rPr>
                <w:color w:val="231F20"/>
              </w:rPr>
              <w:t>  </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181" w:type="dxa"/>
            <w:tcBorders/>
            <w:vAlign w:val="center"/>
          </w:tcPr>
          <w:p>
            <w:pPr>
              <w:pStyle w:val="TableContents"/>
              <w:bidi w:val="0"/>
              <w:spacing w:before="0" w:after="0"/>
              <w:ind w:left="0" w:right="0" w:hanging="0"/>
              <w:jc w:val="left"/>
              <w:rPr>
                <w:color w:val="231F20"/>
              </w:rPr>
            </w:pPr>
            <w:r>
              <w:rPr>
                <w:color w:val="231F20"/>
              </w:rPr>
              <w:t> </w:t>
            </w:r>
          </w:p>
        </w:tc>
        <w:tc>
          <w:tcPr>
            <w:tcW w:w="511" w:type="dxa"/>
            <w:tcBorders/>
            <w:vAlign w:val="center"/>
          </w:tcPr>
          <w:p>
            <w:pPr>
              <w:pStyle w:val="TableContents"/>
              <w:bidi w:val="0"/>
              <w:spacing w:before="0" w:after="0"/>
              <w:ind w:left="0" w:right="0" w:hanging="0"/>
              <w:jc w:val="right"/>
              <w:rPr>
                <w:color w:val="231F20"/>
              </w:rPr>
            </w:pPr>
            <w:r>
              <w:rPr>
                <w:color w:val="231F20"/>
              </w:rPr>
              <w:t>  </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6" w:type="dxa"/>
            <w:tcBorders/>
            <w:vAlign w:val="center"/>
          </w:tcPr>
          <w:p>
            <w:pPr>
              <w:pStyle w:val="TableContents"/>
              <w:bidi w:val="0"/>
              <w:spacing w:before="0" w:after="0"/>
              <w:ind w:left="0" w:right="0" w:hanging="0"/>
              <w:jc w:val="left"/>
              <w:rPr>
                <w:color w:val="231F20"/>
              </w:rPr>
            </w:pPr>
            <w:r>
              <w:rPr>
                <w:color w:val="231F20"/>
              </w:rPr>
              <w:t> </w:t>
            </w:r>
          </w:p>
        </w:tc>
        <w:tc>
          <w:tcPr>
            <w:tcW w:w="610" w:type="dxa"/>
            <w:tcBorders/>
            <w:vAlign w:val="center"/>
          </w:tcPr>
          <w:p>
            <w:pPr>
              <w:pStyle w:val="TableContents"/>
              <w:bidi w:val="0"/>
              <w:spacing w:before="0" w:after="0"/>
              <w:ind w:left="0" w:right="0" w:hanging="0"/>
              <w:jc w:val="right"/>
              <w:rPr>
                <w:color w:val="231F20"/>
              </w:rPr>
            </w:pPr>
            <w:r>
              <w:rPr>
                <w:color w:val="231F20"/>
              </w:rPr>
              <w:t>  </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181" w:type="dxa"/>
            <w:tcBorders/>
            <w:vAlign w:val="center"/>
          </w:tcPr>
          <w:p>
            <w:pPr>
              <w:pStyle w:val="TableContents"/>
              <w:bidi w:val="0"/>
              <w:spacing w:before="0" w:after="0"/>
              <w:ind w:left="0" w:right="0" w:hanging="0"/>
              <w:jc w:val="left"/>
              <w:rPr>
                <w:color w:val="231F20"/>
              </w:rPr>
            </w:pPr>
            <w:r>
              <w:rPr>
                <w:color w:val="231F20"/>
              </w:rPr>
              <w:t> </w:t>
            </w:r>
          </w:p>
        </w:tc>
        <w:tc>
          <w:tcPr>
            <w:tcW w:w="631" w:type="dxa"/>
            <w:tcBorders/>
            <w:vAlign w:val="center"/>
          </w:tcPr>
          <w:p>
            <w:pPr>
              <w:pStyle w:val="TableContents"/>
              <w:bidi w:val="0"/>
              <w:spacing w:before="0" w:after="0"/>
              <w:ind w:left="0" w:right="0" w:hanging="0"/>
              <w:jc w:val="right"/>
              <w:rPr>
                <w:color w:val="231F20"/>
              </w:rPr>
            </w:pPr>
            <w:r>
              <w:rPr>
                <w:color w:val="231F20"/>
              </w:rPr>
              <w:t>  </w:t>
            </w:r>
          </w:p>
        </w:tc>
      </w:tr>
      <w:tr>
        <w:trPr/>
        <w:tc>
          <w:tcPr>
            <w:tcW w:w="1807"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First Mortgage</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1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31" w:type="dxa"/>
            <w:tcBorders/>
            <w:shd w:fill="CCEEFF" w:val="clear"/>
            <w:vAlign w:val="center"/>
          </w:tcPr>
          <w:p>
            <w:pPr>
              <w:pStyle w:val="TableContents"/>
              <w:bidi w:val="0"/>
              <w:spacing w:before="0" w:after="0"/>
              <w:ind w:left="0" w:right="0" w:hanging="0"/>
              <w:jc w:val="right"/>
              <w:rPr/>
            </w:pPr>
            <w:r>
              <w:rPr/>
              <w:t>—</w:t>
            </w:r>
          </w:p>
        </w:tc>
      </w:tr>
      <w:tr>
        <w:trPr/>
        <w:tc>
          <w:tcPr>
            <w:tcW w:w="180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Purchased and Participations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6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r>
      <w:tr>
        <w:trPr/>
        <w:tc>
          <w:tcPr>
            <w:tcW w:w="180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Home improvement, first mortgage</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61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pPr>
            <w:r>
              <w:rPr/>
              <w:t>—</w:t>
            </w:r>
          </w:p>
        </w:tc>
      </w:tr>
      <w:tr>
        <w:trPr/>
        <w:tc>
          <w:tcPr>
            <w:tcW w:w="180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Home equity line of credit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6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r>
      <w:tr>
        <w:trPr/>
        <w:tc>
          <w:tcPr>
            <w:tcW w:w="180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Commercial construction</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61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pPr>
            <w:r>
              <w:rPr/>
              <w:t>—</w:t>
            </w:r>
          </w:p>
        </w:tc>
      </w:tr>
      <w:tr>
        <w:trPr/>
        <w:tc>
          <w:tcPr>
            <w:tcW w:w="180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Commercial and industrial</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6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r>
      <w:tr>
        <w:trPr/>
        <w:tc>
          <w:tcPr>
            <w:tcW w:w="180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Commercial real estate</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61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pPr>
            <w:r>
              <w:rPr/>
              <w:t>—</w:t>
            </w:r>
          </w:p>
        </w:tc>
      </w:tr>
      <w:tr>
        <w:trPr/>
        <w:tc>
          <w:tcPr>
            <w:tcW w:w="180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Commercial line of credit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80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current period gross write-offs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HOYNE SAVINGS, MHC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left"/>
        <w:rPr>
          <w:rFonts w:ascii="Times New Roman;Times;serif" w:hAnsi="Times New Roman;Times;serif"/>
          <w:b/>
          <w:sz w:val="20"/>
        </w:rPr>
      </w:pPr>
      <w:bookmarkStart w:id="1524" w:name="_c17c12b9_a8a1_4d57_b635_f4f60216553e_3"/>
      <w:bookmarkStart w:id="1525" w:name="_c17c12b9_a8a1_4d57_b635_f4f60216553e_2"/>
      <w:bookmarkStart w:id="1526" w:name="_c17c12b9_a8a1_4d57_b635_f4f60216553e"/>
      <w:bookmarkStart w:id="1527" w:name="_17ba24b8_eee8_466e_be9c_de2616c1b262_3"/>
      <w:bookmarkStart w:id="1528" w:name="_17ba24b8_eee8_466e_be9c_de2616c1b262_2"/>
      <w:bookmarkStart w:id="1529" w:name="_17ba24b8_eee8_466e_be9c_de2616c1b262"/>
      <w:bookmarkStart w:id="1530" w:name="Tc_MCExVBbRYk-RqALUHxqkyw_9_5"/>
      <w:bookmarkStart w:id="1531" w:name="Tc_KdvK0MOdIEChTdAwdrUKBw_9_2"/>
      <w:bookmarkStart w:id="1532" w:name="Tc_91OAJ8B7HkKdRDfwwKSwxQ_8_3"/>
      <w:bookmarkStart w:id="1533" w:name="Tc_ThVanPAaMU-06csFmzxv6A_8_0"/>
      <w:bookmarkStart w:id="1534" w:name="Tc_qG3D7QfIfUm9gjRbql1DdA_7_0"/>
      <w:bookmarkStart w:id="1535" w:name="Tc_iAyJWUiB4UOhuaANioqRoQ_6_0"/>
      <w:bookmarkStart w:id="1536" w:name="Tc_FDVLu1DnAE2oZsKGxr9Efg_5_0"/>
      <w:bookmarkStart w:id="1537" w:name="Tc_BloEJZLzSEmmRHM37sG2Gg_4_0"/>
      <w:bookmarkStart w:id="1538" w:name="Tc_eGmevch4ckCwAwCUoReNhg_3_5"/>
      <w:bookmarkStart w:id="1539" w:name="Tc_q2y-1FbAf020YY87ieWEcA_3_2"/>
      <w:bookmarkStart w:id="1540" w:name="Tc_9TS83MbnX0uXP6fI_K2e1Q_3_0"/>
      <w:bookmarkStart w:id="1541" w:name="Tc_Xjg8tC7gmECMAsWaicaOTQ_2_5"/>
      <w:bookmarkStart w:id="1542" w:name="Tc_WSe3_-xQMU6xehk2BEFquw_2_2"/>
      <w:bookmarkStart w:id="1543" w:name="Tc_DHJxVsl9wkWnuut4_G1mhw_1_5"/>
      <w:bookmarkStart w:id="1544" w:name="Tc_qegMh8jzzUifqYY3Dx1MZQ_1_2"/>
      <w:bookmarkStart w:id="1545" w:name="_4e386352_ed93_4ccb_af9d_37bec6ee0a5e"/>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r>
        <w:rPr>
          <w:rFonts w:ascii="Times New Roman;Times;serif" w:hAnsi="Times New Roman;Times;serif"/>
          <w:b/>
          <w:i w:val="false"/>
          <w:caps w:val="false"/>
          <w:smallCaps w:val="false"/>
          <w:sz w:val="20"/>
        </w:rPr>
        <w:t>6.</w:t>
      </w:r>
      <w:r>
        <w:rPr>
          <w:rFonts w:ascii="Times New Roman;Times;serif" w:hAnsi="Times New Roman;Times;serif"/>
          <w:b/>
          <w:sz w:val="20"/>
        </w:rPr>
        <w:t>Premises and Equipment</w:t>
      </w:r>
    </w:p>
    <w:p>
      <w:pPr>
        <w:pStyle w:val="TextBody"/>
        <w:bidi w:val="0"/>
        <w:spacing w:before="0" w:after="240"/>
        <w:ind w:left="0" w:right="0" w:firstLine="360"/>
        <w:jc w:val="left"/>
        <w:rPr>
          <w:rFonts w:ascii="Times New Roman;Times;serif" w:hAnsi="Times New Roman;Times;serif"/>
          <w:color w:val="231F20"/>
          <w:sz w:val="20"/>
        </w:rPr>
      </w:pPr>
      <w:r>
        <w:rPr>
          <w:rFonts w:ascii="Times New Roman;Times;serif" w:hAnsi="Times New Roman;Times;serif"/>
          <w:color w:val="231F20"/>
          <w:sz w:val="20"/>
        </w:rPr>
        <w:t>Premises and equipment consist of the following (in thousands):</w:t>
      </w:r>
    </w:p>
    <w:tbl>
      <w:tblPr>
        <w:tblW w:w="5903" w:type="dxa"/>
        <w:jc w:val="left"/>
        <w:tblInd w:w="0" w:type="dxa"/>
        <w:tblLayout w:type="fixed"/>
        <w:tblCellMar>
          <w:top w:w="0" w:type="dxa"/>
          <w:left w:w="0" w:type="dxa"/>
          <w:bottom w:w="0" w:type="dxa"/>
          <w:right w:w="0" w:type="dxa"/>
        </w:tblCellMar>
      </w:tblPr>
      <w:tblGrid>
        <w:gridCol w:w="2881"/>
        <w:gridCol w:w="326"/>
        <w:gridCol w:w="281"/>
        <w:gridCol w:w="904"/>
        <w:gridCol w:w="326"/>
        <w:gridCol w:w="268"/>
        <w:gridCol w:w="917"/>
      </w:tblGrid>
      <w:tr>
        <w:trPr/>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829435" cy="175260"/>
                      <wp:effectExtent l="0" t="0" r="0" b="0"/>
                      <wp:wrapNone/>
                      <wp:docPr id="238" name="Frame237"/>
                      <a:graphic xmlns:a="http://schemas.openxmlformats.org/drawingml/2006/main">
                        <a:graphicData uri="http://schemas.microsoft.com/office/word/2010/wordprocessingShape">
                          <wps:wsp>
                            <wps:cNvSpPr txBox="1"/>
                            <wps:spPr>
                              <a:xfrm>
                                <a:off x="0" y="0"/>
                                <a:ext cx="182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9" name="Frame2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78435" cy="175260"/>
                      <wp:effectExtent l="0" t="0" r="0" b="0"/>
                      <wp:wrapNone/>
                      <wp:docPr id="240" name="Frame239"/>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574040" cy="175260"/>
                      <wp:effectExtent l="0" t="0" r="0" b="0"/>
                      <wp:wrapNone/>
                      <wp:docPr id="241" name="Frame240"/>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07010" cy="175260"/>
                      <wp:effectExtent l="0" t="0" r="0" b="0"/>
                      <wp:wrapNone/>
                      <wp:docPr id="242" name="Frame2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70180" cy="175260"/>
                      <wp:effectExtent l="0" t="0" r="0" b="0"/>
                      <wp:wrapNone/>
                      <wp:docPr id="243" name="Frame242"/>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582295" cy="175260"/>
                      <wp:effectExtent l="0" t="0" r="0" b="0"/>
                      <wp:wrapNone/>
                      <wp:docPr id="244" name="Frame243"/>
                      <a:graphic xmlns:a="http://schemas.openxmlformats.org/drawingml/2006/main">
                        <a:graphicData uri="http://schemas.microsoft.com/office/word/2010/wordprocessingShape">
                          <wps:wsp>
                            <wps:cNvSpPr txBox="1"/>
                            <wps:spPr>
                              <a:xfrm>
                                <a:off x="0" y="0"/>
                                <a:ext cx="582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color w:val="231F20"/>
              </w:rPr>
            </w:pPr>
            <w:r>
              <w:rPr>
                <w:color w:val="231F20"/>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September 30, </w:t>
            </w:r>
          </w:p>
        </w:tc>
        <w:tc>
          <w:tcPr>
            <w:tcW w:w="326" w:type="dxa"/>
            <w:tcBorders/>
            <w:vAlign w:val="center"/>
          </w:tcPr>
          <w:p>
            <w:pPr>
              <w:pStyle w:val="TableContents"/>
              <w:bidi w:val="0"/>
              <w:spacing w:before="0" w:after="0"/>
              <w:ind w:left="0" w:right="0" w:hanging="0"/>
              <w:jc w:val="center"/>
              <w:rPr>
                <w:color w:val="231F20"/>
              </w:rPr>
            </w:pPr>
            <w:r>
              <w:rPr>
                <w:color w:val="231F20"/>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December 31, </w:t>
            </w:r>
          </w:p>
        </w:tc>
      </w:tr>
      <w:tr>
        <w:trPr/>
        <w:tc>
          <w:tcPr>
            <w:tcW w:w="2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color w:val="231F20"/>
              </w:rPr>
            </w:pPr>
            <w:r>
              <w:rPr>
                <w:color w:val="231F20"/>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2025</w:t>
            </w:r>
          </w:p>
        </w:tc>
        <w:tc>
          <w:tcPr>
            <w:tcW w:w="326" w:type="dxa"/>
            <w:tcBorders/>
            <w:vAlign w:val="center"/>
          </w:tcPr>
          <w:p>
            <w:pPr>
              <w:pStyle w:val="TableContents"/>
              <w:bidi w:val="0"/>
              <w:spacing w:before="0" w:after="0"/>
              <w:ind w:left="0" w:right="0" w:hanging="0"/>
              <w:jc w:val="center"/>
              <w:rPr>
                <w:color w:val="231F20"/>
              </w:rPr>
            </w:pPr>
            <w:r>
              <w:rPr>
                <w:color w:val="231F20"/>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2024</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Land</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961</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885</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Buildings and improvements</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81" w:type="dxa"/>
            <w:tcBorders/>
            <w:vAlign w:val="center"/>
          </w:tcPr>
          <w:p>
            <w:pPr>
              <w:pStyle w:val="TableContents"/>
              <w:bidi w:val="0"/>
              <w:spacing w:before="0" w:after="0"/>
              <w:ind w:left="0" w:right="0" w:hanging="0"/>
              <w:jc w:val="left"/>
              <w:rPr>
                <w:color w:val="231F20"/>
              </w:rPr>
            </w:pPr>
            <w:r>
              <w:rPr>
                <w:color w:val="231F20"/>
              </w:rPr>
              <w:t> </w:t>
            </w:r>
          </w:p>
        </w:tc>
        <w:tc>
          <w:tcPr>
            <w:tcW w:w="904" w:type="dxa"/>
            <w:tcBorders/>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17,200</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68" w:type="dxa"/>
            <w:tcBorders/>
            <w:vAlign w:val="center"/>
          </w:tcPr>
          <w:p>
            <w:pPr>
              <w:pStyle w:val="TableContents"/>
              <w:bidi w:val="0"/>
              <w:spacing w:before="0" w:after="0"/>
              <w:ind w:left="0" w:right="0" w:hanging="0"/>
              <w:jc w:val="left"/>
              <w:rPr>
                <w:color w:val="231F20"/>
              </w:rPr>
            </w:pPr>
            <w:r>
              <w:rPr>
                <w:color w:val="231F20"/>
              </w:rPr>
              <w:t> </w:t>
            </w:r>
          </w:p>
        </w:tc>
        <w:tc>
          <w:tcPr>
            <w:tcW w:w="917"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17,980</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Furniture, fixtures, and equipment</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2,498</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9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2,834</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Total</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81" w:type="dxa"/>
            <w:tcBorders/>
            <w:vAlign w:val="center"/>
          </w:tcPr>
          <w:p>
            <w:pPr>
              <w:pStyle w:val="TableContents"/>
              <w:bidi w:val="0"/>
              <w:spacing w:before="0" w:after="0"/>
              <w:ind w:left="0" w:right="0" w:hanging="0"/>
              <w:jc w:val="left"/>
              <w:rPr>
                <w:color w:val="231F20"/>
              </w:rPr>
            </w:pPr>
            <w:r>
              <w:rPr>
                <w:color w:val="231F20"/>
              </w:rPr>
              <w:t> </w:t>
            </w:r>
          </w:p>
        </w:tc>
        <w:tc>
          <w:tcPr>
            <w:tcW w:w="904" w:type="dxa"/>
            <w:tcBorders/>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20,659</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68" w:type="dxa"/>
            <w:tcBorders/>
            <w:vAlign w:val="center"/>
          </w:tcPr>
          <w:p>
            <w:pPr>
              <w:pStyle w:val="TableContents"/>
              <w:bidi w:val="0"/>
              <w:spacing w:before="0" w:after="0"/>
              <w:ind w:left="0" w:right="0" w:hanging="0"/>
              <w:jc w:val="left"/>
              <w:rPr>
                <w:color w:val="231F20"/>
              </w:rPr>
            </w:pPr>
            <w:r>
              <w:rPr>
                <w:color w:val="231F20"/>
              </w:rPr>
              <w:t> </w:t>
            </w:r>
          </w:p>
        </w:tc>
        <w:tc>
          <w:tcPr>
            <w:tcW w:w="917"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21,699</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Less accumulated depreciation </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8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13,328</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68"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14,408</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Construction in progress</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904" w:type="dxa"/>
            <w:tcBorders>
              <w:bottom w:val="single" w:sz="2" w:space="0" w:color="000000"/>
            </w:tcBorders>
            <w:tcMar>
              <w:bottom w:w="28" w:type="dxa"/>
            </w:tcMar>
            <w:vAlign w:val="center"/>
          </w:tcPr>
          <w:p>
            <w:pPr>
              <w:pStyle w:val="TableContents"/>
              <w:bidi w:val="0"/>
              <w:spacing w:before="0" w:after="0"/>
              <w:ind w:left="0" w:right="0" w:hanging="0"/>
              <w:jc w:val="right"/>
              <w:rPr>
                <w:color w:val="231F20"/>
              </w:rPr>
            </w:pPr>
            <w:r>
              <w:rPr>
                <w:color w:val="231F20"/>
              </w:rPr>
              <w:t>—</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9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459</w:t>
            </w:r>
          </w:p>
        </w:tc>
      </w:tr>
      <w:tr>
        <w:trPr/>
        <w:tc>
          <w:tcPr>
            <w:tcW w:w="28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9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7,331</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91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color w:val="231F20"/>
                <w:sz w:val="20"/>
              </w:rPr>
            </w:pPr>
            <w:r>
              <w:rPr>
                <w:rFonts w:ascii="Times New Roman;Times;serif" w:hAnsi="Times New Roman;Times;serif"/>
                <w:color w:val="231F20"/>
                <w:sz w:val="20"/>
              </w:rPr>
              <w:t>7,750</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Bank leases a building for one of its branches. The Bank does not have any future lease commitments for that facility, and is operating on a month-to-month basis. Rent expense was $20,400 during the three months ended September 30, 2025 and $20,400 during the three months ended September 30, 2024 and $61,200 during the nine months ended September 30, 2025 and $61,200 during the nine months ended September 30, 2024. The Bank also leases its Oak Park office. The </w:t>
      </w:r>
      <w:r>
        <w:rPr>
          <w:rFonts w:ascii="Times New Roman;Times;serif" w:hAnsi="Times New Roman;Times;serif"/>
          <w:b w:val="false"/>
          <w:i w:val="false"/>
          <w:caps w:val="false"/>
          <w:smallCaps w:val="false"/>
          <w:sz w:val="20"/>
        </w:rPr>
        <w:t>three year</w:t>
      </w:r>
      <w:r>
        <w:rPr>
          <w:rFonts w:ascii="Times New Roman;Times;serif" w:hAnsi="Times New Roman;Times;serif"/>
          <w:sz w:val="20"/>
        </w:rPr>
        <w:t xml:space="preserve"> lease was effective in January of 2023. The capital lease asset and lease liability is $25,974 as of September 30, 2025 and $73,972 as of December 31, 2024. The capital lease asset is included in other assets on the consolidated statement of financial condition and the lease liability is included in accounts payable and accrued expenses on the consolidated statement of financial condition. There is three months remaining on the lease, all payments will be made in 2025.</w:t>
      </w:r>
    </w:p>
    <w:p>
      <w:pPr>
        <w:pStyle w:val="TextBody"/>
        <w:bidi w:val="0"/>
        <w:spacing w:before="0" w:after="240"/>
        <w:ind w:left="0" w:right="0" w:hanging="0"/>
        <w:jc w:val="left"/>
        <w:rPr>
          <w:rFonts w:ascii="Times New Roman;Times;serif" w:hAnsi="Times New Roman;Times;serif"/>
          <w:b/>
          <w:sz w:val="20"/>
        </w:rPr>
      </w:pPr>
      <w:bookmarkStart w:id="1546" w:name="Tc_7uxzguJ5PUyF4A8kEgZNdQ_7_5"/>
      <w:bookmarkStart w:id="1547" w:name="Tc_1N9Ko4rdjECDWNFy5OhS-w_7_2"/>
      <w:bookmarkStart w:id="1548" w:name="Tc_xrMg0x5c10-mDJh8C2uQAw_7_0"/>
      <w:bookmarkStart w:id="1549" w:name="Tc_bdXi56MQPkOmk2HAHCfMQg_6_0"/>
      <w:bookmarkStart w:id="1550" w:name="Tc_CF8wIb4ko0uPdBQ_VvFfxw_5_6"/>
      <w:bookmarkStart w:id="1551" w:name="Tc_vLReTTrqLUqAFHnVR27F-Q_5_3"/>
      <w:bookmarkStart w:id="1552" w:name="Tc_E7vfZxmLX0CgSNBLbjUM0A_5_0"/>
      <w:bookmarkStart w:id="1553" w:name="Tc_BEMWwxwzS0WsIkMaB0mKIg_4_6"/>
      <w:bookmarkStart w:id="1554" w:name="Tc_QZzWNZRoC0SwG--nkJvYwg_4_3"/>
      <w:bookmarkStart w:id="1555" w:name="Tc_zxAYXdpXSUyNW3yU1L6wqA_4_0"/>
      <w:bookmarkStart w:id="1556" w:name="Tc_h1aflxrTQEaCQigILqvldw_3_5"/>
      <w:bookmarkStart w:id="1557" w:name="Tc_2piFzWU3402s7rO9KQ7t5w_3_2"/>
      <w:bookmarkStart w:id="1558" w:name="Tc_1ji0BhRYxEOC8ExzrmLCww_3_0"/>
      <w:bookmarkStart w:id="1559" w:name="Tc_SDnhCodm90eH2GKw-q06zg_2_5"/>
      <w:bookmarkStart w:id="1560" w:name="Tc_4xDvw8b3yUWoWIfzT9dDfg_2_2"/>
      <w:bookmarkStart w:id="1561" w:name="Tc_dHkIaHb2BkCW8iaVK24HRA_1_5"/>
      <w:bookmarkStart w:id="1562" w:name="Tc_vAA6nUHYnEq9Bf4Zd3441w_1_2"/>
      <w:bookmarkStart w:id="1563" w:name="_37a72f01_cfb2_4987_9d4f_a80f5dfc866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r>
        <w:rPr>
          <w:rFonts w:ascii="Times New Roman;Times;serif" w:hAnsi="Times New Roman;Times;serif"/>
          <w:b/>
          <w:i w:val="false"/>
          <w:caps w:val="false"/>
          <w:smallCaps w:val="false"/>
          <w:sz w:val="20"/>
        </w:rPr>
        <w:t>7.</w:t>
      </w:r>
      <w:r>
        <w:rPr>
          <w:rFonts w:ascii="Times New Roman;Times;serif" w:hAnsi="Times New Roman;Times;serif"/>
          <w:b/>
          <w:sz w:val="20"/>
        </w:rPr>
        <w:t>Related Party Transactions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Bank conducts transactions with its directors and executive officers, including companies in which they have beneficial interest, in the normal course of business. It is the policy of the Bank that loan transactions with directors and executive officers be made on substantially the same terms as those prevailing at the time for comparable loans to other persons. The following is a summary of activity for related party loans (in thousands):</w:t>
      </w:r>
    </w:p>
    <w:tbl>
      <w:tblPr>
        <w:tblW w:w="4763" w:type="dxa"/>
        <w:jc w:val="left"/>
        <w:tblInd w:w="0" w:type="dxa"/>
        <w:tblLayout w:type="fixed"/>
        <w:tblCellMar>
          <w:top w:w="0" w:type="dxa"/>
          <w:left w:w="0" w:type="dxa"/>
          <w:bottom w:w="0" w:type="dxa"/>
          <w:right w:w="0" w:type="dxa"/>
        </w:tblCellMar>
      </w:tblPr>
      <w:tblGrid>
        <w:gridCol w:w="1741"/>
        <w:gridCol w:w="326"/>
        <w:gridCol w:w="394"/>
        <w:gridCol w:w="791"/>
        <w:gridCol w:w="326"/>
        <w:gridCol w:w="338"/>
        <w:gridCol w:w="847"/>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105535" cy="175260"/>
                      <wp:effectExtent l="0" t="0" r="0" b="0"/>
                      <wp:wrapNone/>
                      <wp:docPr id="245" name="Frame244"/>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7010" cy="175260"/>
                      <wp:effectExtent l="0" t="0" r="0" b="0"/>
                      <wp:wrapNone/>
                      <wp:docPr id="246" name="Frame2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50190" cy="175260"/>
                      <wp:effectExtent l="0" t="0" r="0" b="0"/>
                      <wp:wrapNone/>
                      <wp:docPr id="247" name="Frame246"/>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502285" cy="175260"/>
                      <wp:effectExtent l="0" t="0" r="0" b="0"/>
                      <wp:wrapNone/>
                      <wp:docPr id="248" name="Frame247"/>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07010" cy="175260"/>
                      <wp:effectExtent l="0" t="0" r="0" b="0"/>
                      <wp:wrapNone/>
                      <wp:docPr id="249" name="Frame2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14630" cy="175260"/>
                      <wp:effectExtent l="0" t="0" r="0" b="0"/>
                      <wp:wrapNone/>
                      <wp:docPr id="250" name="Frame249"/>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537845" cy="175260"/>
                      <wp:effectExtent l="0" t="0" r="0" b="0"/>
                      <wp:wrapNone/>
                      <wp:docPr id="251" name="Frame250"/>
                      <a:graphic xmlns:a="http://schemas.openxmlformats.org/drawingml/2006/main">
                        <a:graphicData uri="http://schemas.microsoft.com/office/word/2010/wordprocessingShape">
                          <wps:wsp>
                            <wps:cNvSpPr txBox="1"/>
                            <wps:spPr>
                              <a:xfrm>
                                <a:off x="0" y="0"/>
                                <a:ext cx="537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center"/>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326"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313</w:t>
            </w:r>
          </w:p>
        </w:tc>
        <w:tc>
          <w:tcPr>
            <w:tcW w:w="326" w:type="dxa"/>
            <w:tcBorders/>
            <w:shd w:fill="CCEEFF" w:val="clear"/>
            <w:vAlign w:val="center"/>
          </w:tcPr>
          <w:p>
            <w:pPr>
              <w:pStyle w:val="TableContents"/>
              <w:bidi w:val="0"/>
              <w:spacing w:before="0" w:after="0"/>
              <w:ind w:left="0" w:right="0" w:hanging="0"/>
              <w:jc w:val="left"/>
              <w:rPr/>
            </w:pPr>
            <w:r>
              <w:rPr/>
              <w:t>​</w:t>
            </w:r>
          </w:p>
        </w:tc>
        <w:tc>
          <w:tcPr>
            <w:tcW w:w="3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Directors</w:t>
            </w:r>
          </w:p>
        </w:tc>
        <w:tc>
          <w:tcPr>
            <w:tcW w:w="326"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8" w:type="dxa"/>
            <w:tcBorders/>
            <w:vAlign w:val="center"/>
          </w:tcPr>
          <w:p>
            <w:pPr>
              <w:pStyle w:val="TableContents"/>
              <w:bidi w:val="0"/>
              <w:spacing w:before="0" w:after="0"/>
              <w:ind w:left="0" w:right="0" w:hanging="0"/>
              <w:jc w:val="left"/>
              <w:rPr/>
            </w:pPr>
            <w:r>
              <w:rPr/>
              <w:t> </w:t>
            </w:r>
          </w:p>
        </w:tc>
        <w:tc>
          <w:tcPr>
            <w:tcW w:w="847" w:type="dxa"/>
            <w:tcBorders/>
            <w:vAlign w:val="center"/>
          </w:tcPr>
          <w:p>
            <w:pPr>
              <w:pStyle w:val="TableContents"/>
              <w:bidi w:val="0"/>
              <w:spacing w:before="0" w:after="0"/>
              <w:ind w:left="0" w:right="0" w:hanging="0"/>
              <w:jc w:val="right"/>
              <w:rPr/>
            </w:pPr>
            <w:r>
              <w:rPr/>
              <w:t>—</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Advanced</w:t>
            </w:r>
          </w:p>
        </w:tc>
        <w:tc>
          <w:tcPr>
            <w:tcW w:w="326"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8" w:type="dxa"/>
            <w:tcBorders/>
            <w:shd w:fill="CCEEFF" w:val="clear"/>
            <w:vAlign w:val="center"/>
          </w:tcPr>
          <w:p>
            <w:pPr>
              <w:pStyle w:val="TableContents"/>
              <w:bidi w:val="0"/>
              <w:spacing w:before="0" w:after="0"/>
              <w:ind w:left="0" w:right="0" w:hanging="0"/>
              <w:jc w:val="left"/>
              <w:rPr/>
            </w:pPr>
            <w:r>
              <w:rPr/>
              <w:t> </w:t>
            </w:r>
          </w:p>
        </w:tc>
        <w:tc>
          <w:tcPr>
            <w:tcW w:w="847" w:type="dxa"/>
            <w:tcBorders/>
            <w:shd w:fill="CCEEFF" w:val="clear"/>
            <w:vAlign w:val="center"/>
          </w:tcPr>
          <w:p>
            <w:pPr>
              <w:pStyle w:val="TableContents"/>
              <w:bidi w:val="0"/>
              <w:spacing w:before="0" w:after="0"/>
              <w:ind w:left="0" w:right="0" w:hanging="0"/>
              <w:jc w:val="righ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Repayments</w:t>
            </w:r>
          </w:p>
        </w:tc>
        <w:tc>
          <w:tcPr>
            <w:tcW w:w="326" w:type="dxa"/>
            <w:tcBorders/>
            <w:vAlign w:val="center"/>
          </w:tcPr>
          <w:p>
            <w:pPr>
              <w:pStyle w:val="TableContents"/>
              <w:bidi w:val="0"/>
              <w:spacing w:before="0" w:after="0"/>
              <w:ind w:left="0" w:right="0" w:hanging="0"/>
              <w:jc w:val="left"/>
              <w:rPr/>
            </w:pPr>
            <w:r>
              <w:rPr/>
              <w:t>​</w:t>
            </w:r>
          </w:p>
        </w:tc>
        <w:tc>
          <w:tcPr>
            <w:tcW w:w="39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w:t>
            </w:r>
          </w:p>
        </w:tc>
        <w:tc>
          <w:tcPr>
            <w:tcW w:w="326" w:type="dxa"/>
            <w:tcBorders/>
            <w:vAlign w:val="center"/>
          </w:tcPr>
          <w:p>
            <w:pPr>
              <w:pStyle w:val="TableContents"/>
              <w:bidi w:val="0"/>
              <w:spacing w:before="0" w:after="0"/>
              <w:ind w:left="0" w:right="0" w:hanging="0"/>
              <w:jc w:val="left"/>
              <w:rPr/>
            </w:pPr>
            <w:r>
              <w:rPr/>
              <w:t>​</w:t>
            </w:r>
          </w:p>
        </w:tc>
        <w:tc>
          <w:tcPr>
            <w:tcW w:w="33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326" w:type="dxa"/>
            <w:tcBorders/>
            <w:shd w:fill="CCEEFF" w:val="clear"/>
            <w:vAlign w:val="center"/>
          </w:tcPr>
          <w:p>
            <w:pPr>
              <w:pStyle w:val="TableContents"/>
              <w:bidi w:val="0"/>
              <w:spacing w:before="0" w:after="0"/>
              <w:ind w:left="0" w:right="0" w:hanging="0"/>
              <w:jc w:val="left"/>
              <w:rPr/>
            </w:pPr>
            <w:r>
              <w:rPr/>
              <w:t>​</w:t>
            </w:r>
          </w:p>
        </w:tc>
        <w:tc>
          <w:tcPr>
            <w:tcW w:w="39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305</w:t>
            </w:r>
          </w:p>
        </w:tc>
        <w:tc>
          <w:tcPr>
            <w:tcW w:w="326" w:type="dxa"/>
            <w:tcBorders/>
            <w:shd w:fill="CCEEFF" w:val="clear"/>
            <w:vAlign w:val="center"/>
          </w:tcPr>
          <w:p>
            <w:pPr>
              <w:pStyle w:val="TableContents"/>
              <w:bidi w:val="0"/>
              <w:spacing w:before="0" w:after="0"/>
              <w:ind w:left="0" w:right="0" w:hanging="0"/>
              <w:jc w:val="left"/>
              <w:rPr/>
            </w:pPr>
            <w:r>
              <w:rPr/>
              <w:t>​</w:t>
            </w:r>
          </w:p>
        </w:tc>
        <w:tc>
          <w:tcPr>
            <w:tcW w:w="3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313</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aggregate amount of deposits from directors and executive officers and their affiliates amounted to approximately $2.2 million at September 30, 2025 and $2.0 million at December 31, 2024.</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HOYNE SAVINGS, MHC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left"/>
        <w:rPr>
          <w:rFonts w:ascii="Times New Roman;Times;serif" w:hAnsi="Times New Roman;Times;serif"/>
          <w:b/>
          <w:sz w:val="20"/>
        </w:rPr>
      </w:pPr>
      <w:bookmarkStart w:id="1564" w:name="Tc_DD_fyF9Dw0e62pxzncmHUw_9_5"/>
      <w:bookmarkStart w:id="1565" w:name="Tc_fT3yqKHlc0CCFrZv9l6KsQ_9_2"/>
      <w:bookmarkStart w:id="1566" w:name="Tc_ixhnuQKu_k-FBSnKA_lzvA_9_0"/>
      <w:bookmarkStart w:id="1567" w:name="Tc_wCv4GDXPw0W9bcIAJIsAIg_8_0"/>
      <w:bookmarkStart w:id="1568" w:name="Tc_wSnWYYFPT0CuDJdP0xfYkg_7_0"/>
      <w:bookmarkStart w:id="1569" w:name="Tc_omO0kkk3BEqti3kRI4UxHA_6_0"/>
      <w:bookmarkStart w:id="1570" w:name="Tc_o2JFqYK23EqhOaLwjen-rg_5_0"/>
      <w:bookmarkStart w:id="1571" w:name="Tc_ryZ29UxS40yaBF3PzV2Vuw_4_5"/>
      <w:bookmarkStart w:id="1572" w:name="Tc_bDhzs_CqE0y7ySD9ID-sDw_4_2"/>
      <w:bookmarkStart w:id="1573" w:name="Tc_TzzTkQ-MW0GQTSeWNOwvQA_4_0"/>
      <w:bookmarkStart w:id="1574" w:name="Tc_M7QG1TDR0k-T9-mliFjPbw_3_0"/>
      <w:bookmarkStart w:id="1575" w:name="Tc__VLVd57W3kqTsi_tmt2eZQ_2_5"/>
      <w:bookmarkStart w:id="1576" w:name="Tc_AteFuj0_kUCR4zwS1j7Jsw_2_2"/>
      <w:bookmarkStart w:id="1577" w:name="Tc_rfboT_y0X0eJnWtUtXoKoQ_1_5"/>
      <w:bookmarkStart w:id="1578" w:name="Tc_H_00BekxSUyOTXgn0GQJyg_1_2"/>
      <w:bookmarkStart w:id="1579" w:name="_4356da60_b434_4395_9044_022b57b5ac09"/>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r>
        <w:rPr>
          <w:rFonts w:ascii="Times New Roman;Times;serif" w:hAnsi="Times New Roman;Times;serif"/>
          <w:b/>
          <w:i w:val="false"/>
          <w:caps w:val="false"/>
          <w:smallCaps w:val="false"/>
          <w:sz w:val="20"/>
        </w:rPr>
        <w:t>8.</w:t>
      </w:r>
      <w:r>
        <w:rPr>
          <w:rFonts w:ascii="Times New Roman;Times;serif" w:hAnsi="Times New Roman;Times;serif"/>
          <w:b/>
          <w:sz w:val="20"/>
        </w:rPr>
        <w:t>Deposits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Deposit accounts consist of the following (in thousands):</w:t>
      </w:r>
    </w:p>
    <w:tbl>
      <w:tblPr>
        <w:tblW w:w="5558" w:type="dxa"/>
        <w:jc w:val="left"/>
        <w:tblInd w:w="0" w:type="dxa"/>
        <w:tblLayout w:type="fixed"/>
        <w:tblCellMar>
          <w:top w:w="0" w:type="dxa"/>
          <w:left w:w="0" w:type="dxa"/>
          <w:bottom w:w="0" w:type="dxa"/>
          <w:right w:w="0" w:type="dxa"/>
        </w:tblCellMar>
      </w:tblPr>
      <w:tblGrid>
        <w:gridCol w:w="2536"/>
        <w:gridCol w:w="326"/>
        <w:gridCol w:w="252"/>
        <w:gridCol w:w="933"/>
        <w:gridCol w:w="326"/>
        <w:gridCol w:w="228"/>
        <w:gridCol w:w="957"/>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610360" cy="175260"/>
                      <wp:effectExtent l="0" t="0" r="0" b="0"/>
                      <wp:wrapNone/>
                      <wp:docPr id="252" name="Frame251"/>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07010" cy="175260"/>
                      <wp:effectExtent l="0" t="0" r="0" b="0"/>
                      <wp:wrapNone/>
                      <wp:docPr id="253" name="Frame2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60020" cy="175260"/>
                      <wp:effectExtent l="0" t="0" r="0" b="0"/>
                      <wp:wrapNone/>
                      <wp:docPr id="254" name="Frame253"/>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592455" cy="175260"/>
                      <wp:effectExtent l="0" t="0" r="0" b="0"/>
                      <wp:wrapNone/>
                      <wp:docPr id="255" name="Frame254"/>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07010" cy="175260"/>
                      <wp:effectExtent l="0" t="0" r="0" b="0"/>
                      <wp:wrapNone/>
                      <wp:docPr id="256" name="Frame2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44780" cy="175260"/>
                      <wp:effectExtent l="0" t="0" r="0" b="0"/>
                      <wp:wrapNone/>
                      <wp:docPr id="257" name="Frame256"/>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07695" cy="175260"/>
                      <wp:effectExtent l="0" t="0" r="0" b="0"/>
                      <wp:wrapNone/>
                      <wp:docPr id="258" name="Frame257"/>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center"/>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5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Demand accounts</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left"/>
              <w:rPr/>
            </w:pPr>
            <w:r>
              <w:rPr/>
              <w:t>​</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Passbook accounts</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93,348</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102,136</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NOW accounts</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53,785</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 </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45,165</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Daily money market accounts</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17,103</w:t>
            </w:r>
          </w:p>
        </w:tc>
        <w:tc>
          <w:tcPr>
            <w:tcW w:w="32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17,117</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demand deposits</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164,236</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 </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164,418</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Certificates of deposit</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192,585</w:t>
            </w:r>
          </w:p>
        </w:tc>
        <w:tc>
          <w:tcPr>
            <w:tcW w:w="32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192,874</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of all deposit accounts</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356,821</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357,292</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Time deposits that meet or exceed the FDIC insurance limit of $250,000 totaled $38.7 million at September 30, 2025 and $36.5 million at December 31, 2024.</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9.</w:t>
      </w:r>
      <w:r>
        <w:rPr>
          <w:rFonts w:ascii="Times New Roman;Times;serif" w:hAnsi="Times New Roman;Times;serif"/>
          <w:b/>
          <w:sz w:val="20"/>
        </w:rPr>
        <w:t>Fair Value Measurements and Disclosures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Bank utilizes fair value measurements to record fair value adjustments to certain assets and liabilities and to determine fair value disclosures. From time to time, the Bank may be required to record at fair value other assets on a nonrecurring basis, such as individually evaluated loans and other real estate owned. These nonrecurring fair value adjustments typically involve application of the lower of cost or market accounting or write-downs of individual assets. Additionally, the Bank is required to disclose, but not record, the fair value of other financial instruments.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Fair Value Hierarchy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Bank groups assets and liabilities at fair value in three levels, based on the markets in which the assets and liabilities are traded and the reliability of the assumptions used to determine fair value. These levels are: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Level 1 — Valuation is based upon quoted prices for identical instruments traded in active markets.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Level 2 — Valuation is based upon quoted prices for similar instruments in active markets, quoted prices for identical or similar instruments in markets that are not active, and model-based valuation techniques for which all significant assumptions are observable in the market.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Level 3 —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use of option pricing models, discounted cash flow models and similar techniques.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Following is a description of valuation methodologies used for assets and liabilities recorded at fair value.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Cash and Cash Equivalents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carrying value of cash and cash equivalents is a reasonable estimate of fair value.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Certificates of Deposit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carrying value of certificates of deposit is a reasonable estimate of fair value given the short term nature of instruments.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HOYNE SAVINGS, MHC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left"/>
        <w:rPr>
          <w:rFonts w:ascii="Times New Roman;Times;serif" w:hAnsi="Times New Roman;Times;serif"/>
          <w:b/>
          <w:sz w:val="20"/>
        </w:rPr>
      </w:pPr>
      <w:bookmarkStart w:id="1580" w:name="Tc_QfQLZZqhHEagd3gTXdJVOA_13_11"/>
      <w:bookmarkStart w:id="1581" w:name="Tc_1ts-RFkk1kGmoIoV5eDJ4w_13_9"/>
      <w:bookmarkStart w:id="1582" w:name="Tc_uUXIpQAvM0Gar6SzomEQgg_13_8"/>
      <w:bookmarkStart w:id="1583" w:name="Tc_Jt-iQQNvBkygZqL1CIDgaQ_13_5"/>
      <w:bookmarkStart w:id="1584" w:name="Tc_qGrivljFlUyGIMWQ09YjTw_13_2"/>
      <w:bookmarkStart w:id="1585" w:name="Tc_IQgT7nYpxEC8UAbltiYvaA_13_0"/>
      <w:bookmarkStart w:id="1586" w:name="Tc_M_UZHufZAUufE_pBXC2MSA_12_9"/>
      <w:bookmarkStart w:id="1587" w:name="Tc_yL-G1UNp30SxVtpAO713eQ_12_6"/>
      <w:bookmarkStart w:id="1588" w:name="Tc_uF6hpEcCDEa44W9SpRptTA_12_0"/>
      <w:bookmarkStart w:id="1589" w:name="Tc_iqEODHi05UmX3bGjFIioYQ_11_9"/>
      <w:bookmarkStart w:id="1590" w:name="Tc_TdQ9gIi23U-TZjJxSFggBA_11_3"/>
      <w:bookmarkStart w:id="1591" w:name="Tc_a9gsbQlGeUqPp41OUqZZ5Q_11_0"/>
      <w:bookmarkStart w:id="1592" w:name="Tc_OCtdAaX3LEmbjcw7XdV_Cw_10_9"/>
      <w:bookmarkStart w:id="1593" w:name="Tc_-OEi8hy_Pk29NQaGNdSntQ_10_3"/>
      <w:bookmarkStart w:id="1594" w:name="Tc_jD7TiwqkzECjKBRWbGOUSA_10_0"/>
      <w:bookmarkStart w:id="1595" w:name="Tc_m3Rqh2uBTU-DbbUOoObQvg_9_11"/>
      <w:bookmarkStart w:id="1596" w:name="Tc_L22GHLirqEGB4Qs1VvZkfQ_9_9"/>
      <w:bookmarkStart w:id="1597" w:name="Tc_4zvo4Ep4yk-bLexAH-ieLg_9_8"/>
      <w:bookmarkStart w:id="1598" w:name="Tc_rGceKMXYeEiyv5Ee2ke29w_9_5"/>
      <w:bookmarkStart w:id="1599" w:name="Tc_paKpH_ui9Uy2Vku6sDyP7g_9_3"/>
      <w:bookmarkStart w:id="1600" w:name="Tc_bze7b7PMjk-QeytRjn_dcw_9_2"/>
      <w:bookmarkStart w:id="1601" w:name="Tc_lPu4BaUCEUCf2GExR4mvaA_9_0"/>
      <w:bookmarkStart w:id="1602" w:name="Tc_tbAWC4HHNkO2ocGwXZN8Jw_8_0"/>
      <w:bookmarkStart w:id="1603" w:name="Tc_HWLD6fmwk0-YsoOlKC5jCw_7_11"/>
      <w:bookmarkStart w:id="1604" w:name="Tc_QFaNBDBVx0iRjon-KtgJmg_7_8"/>
      <w:bookmarkStart w:id="1605" w:name="Tc_e_CxQXTASEWbqNM53JVUvg_7_5"/>
      <w:bookmarkStart w:id="1606" w:name="Tc_VpnV69IqyUuEValZ0Zvc7Q_7_2"/>
      <w:bookmarkStart w:id="1607" w:name="Tc_fqW4EcCJiE-FgtYydJZk0w_6_11"/>
      <w:bookmarkStart w:id="1608" w:name="Tc_cwyonGYGQ0iG2-hG1jRb2g_6_8"/>
      <w:bookmarkStart w:id="1609" w:name="Tc_jio6MrPc5UqpIzujKQD4gA_6_5"/>
      <w:bookmarkStart w:id="1610" w:name="Tc_6bq-VyihNUqelW9n0KSD6g_6_2"/>
      <w:bookmarkStart w:id="1611" w:name="Tc_CUWQcBfmB06VayWuIyuclA_5_11"/>
      <w:bookmarkStart w:id="1612" w:name="Tc_PWfhlaoUp0eb2rh4PgndCw_5_8"/>
      <w:bookmarkStart w:id="1613" w:name="Tc_-inmelCCuUusrH8mcEIp5A_5_5"/>
      <w:bookmarkStart w:id="1614" w:name="Tc_W66mh54TY0-hM7CyNlZPpg_5_2"/>
      <w:bookmarkStart w:id="1615" w:name="Tc_Sj5nLXRwPUOS2UPcZWbC6w_4_8"/>
      <w:bookmarkStart w:id="1616" w:name="Tc_ZZRd2yPtwUu8HXrFBNS51Q_4_5"/>
      <w:bookmarkStart w:id="1617" w:name="Tc_mm-3NuaJTEC5ueCZKfp3jw_4_2"/>
      <w:bookmarkStart w:id="1618" w:name="Tc_GYI00JweMU6ApMNur_IuKw_3_5"/>
      <w:bookmarkStart w:id="1619" w:name="Tc_cOpvdAmU20qG0HkcTrmxCQ_3_2"/>
      <w:bookmarkStart w:id="1620" w:name="Tc_75SU2C-LukW9VaTKF6JcEA_2_2"/>
      <w:bookmarkStart w:id="1621" w:name="Tc_qkCFjplQiEmAjHqs6opurQ_1_2"/>
      <w:bookmarkStart w:id="1622" w:name="_7217cdce_000d_4045_80c8_5a2116190f15"/>
      <w:bookmarkStart w:id="1623" w:name="Tc_5D1pQvNbrUKxxXshIZMbpw_12_11"/>
      <w:bookmarkStart w:id="1624" w:name="Tc_cy1KRu2szEu9s5_W4mRD4g_12_9"/>
      <w:bookmarkStart w:id="1625" w:name="Tc_lml26oQ1jkGHFaNuqs8HXA_12_8"/>
      <w:bookmarkStart w:id="1626" w:name="Tc_weOfHFKSLkuDltDTNicAnw_12_5"/>
      <w:bookmarkStart w:id="1627" w:name="Tc_GDtA2x4LGUGl2WglSUPqQQ_12_3"/>
      <w:bookmarkStart w:id="1628" w:name="Tc_c00rKTxQCk6Xjn0dqx7S8g_12_2"/>
      <w:bookmarkStart w:id="1629" w:name="Tc_BRMMUPm5x0WwFOlStLXYWw_12_0"/>
      <w:bookmarkStart w:id="1630" w:name="Tc_x1HxTb7pLUijX1LI2sYzoQ_11_9"/>
      <w:bookmarkStart w:id="1631" w:name="Tc_oyvfp6Y7yESRhuFEQANR9w_11_3"/>
      <w:bookmarkStart w:id="1632" w:name="Tc_F39nCG9cVkqm43Kkl4OaDg_11_0"/>
      <w:bookmarkStart w:id="1633" w:name="Tc_oGoqaP4OAkabkgwDBMIvaw_10_9"/>
      <w:bookmarkStart w:id="1634" w:name="Tc_QOyKpNVdP0K1EwA-sjtFFg_10_3"/>
      <w:bookmarkStart w:id="1635" w:name="Tc_2TO_FGYXZ0OURzA1nxVgmw_10_0"/>
      <w:bookmarkStart w:id="1636" w:name="Tc_tXrvjoNJOUq5PEq7ZiRU6Q_9_11"/>
      <w:bookmarkStart w:id="1637" w:name="Tc_lZNmNurytEqhCN7_GiTAgg_9_9"/>
      <w:bookmarkStart w:id="1638" w:name="Tc_RYU26jf6ykWpUayCCaX5Ew_9_8"/>
      <w:bookmarkStart w:id="1639" w:name="Tc_IkdSgXPFEEGEAW1i9IFVyQ_9_5"/>
      <w:bookmarkStart w:id="1640" w:name="Tc_dbbU32Jpl0uCf7JSqd4phg_9_3"/>
      <w:bookmarkStart w:id="1641" w:name="Tc_4N0APOQlxEmVh1VaUs3TkA_9_2"/>
      <w:bookmarkStart w:id="1642" w:name="Tc_4sbra2QEMkuHZ3SoPrLELw_9_0"/>
      <w:bookmarkStart w:id="1643" w:name="Tc_oud2oqYIzkyIiGVd0QAmHg_8_0"/>
      <w:bookmarkStart w:id="1644" w:name="Tc_IuU5ZrtEOES8nqbSiFFNBQ_7_11"/>
      <w:bookmarkStart w:id="1645" w:name="Tc_4KABvdXlJU-2MJnXwe9PGQ_7_8"/>
      <w:bookmarkStart w:id="1646" w:name="Tc_M-nkLwBVr0yxt1c16CiUBA_7_5"/>
      <w:bookmarkStart w:id="1647" w:name="Tc_gIVmNF7xoUaRPpKpJDW6UQ_7_2"/>
      <w:bookmarkStart w:id="1648" w:name="Tc_esOyi-F0B0q7jxAXmlmS9w_6_11"/>
      <w:bookmarkStart w:id="1649" w:name="Tc_TNoKW17o9EGM9FDKvW0aSg_6_8"/>
      <w:bookmarkStart w:id="1650" w:name="Tc_T5ic9Qm5TE2uRRUSK_tkJQ_6_5"/>
      <w:bookmarkStart w:id="1651" w:name="Tc_EL1H-j6zGUeFOzNm_VPAXw_6_2"/>
      <w:bookmarkStart w:id="1652" w:name="Tc_qQ0cMbIUZUiYYe9jHkDa4w_5_11"/>
      <w:bookmarkStart w:id="1653" w:name="Tc_RqnqIIUH_kOpfV-uc7_axg_5_8"/>
      <w:bookmarkStart w:id="1654" w:name="Tc_9fbBpYRWIUCBFnhKqwvaZQ_5_5"/>
      <w:bookmarkStart w:id="1655" w:name="Tc_3Xzx3lqg2UWy9aJp55reYA_5_2"/>
      <w:bookmarkStart w:id="1656" w:name="Tc_iJBXcNA0WkSY0b1KyQaQ3Q_4_8"/>
      <w:bookmarkStart w:id="1657" w:name="Tc_KbFQ3VTS7ECsuWlFHt1I1w_4_5"/>
      <w:bookmarkStart w:id="1658" w:name="Tc_mz2Jnsuo8Ui9FHeuwlTo1A_4_2"/>
      <w:bookmarkStart w:id="1659" w:name="Tc_iWiepdvRtUy32iRtcZ4pIw_3_5"/>
      <w:bookmarkStart w:id="1660" w:name="Tc_yGsYrUgxhkWgN86v-x8AYQ_3_2"/>
      <w:bookmarkStart w:id="1661" w:name="Tc_cw43pieY30iJuvRurm05ug_2_2"/>
      <w:bookmarkStart w:id="1662" w:name="Tc_6CDnBXeenkqTh3vjI9cAqw_1_2"/>
      <w:bookmarkStart w:id="1663" w:name="_7c9e08e4_92cc_4f53_b841_3f342d59ef25"/>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r>
        <w:rPr>
          <w:rFonts w:ascii="Times New Roman;Times;serif" w:hAnsi="Times New Roman;Times;serif"/>
          <w:b/>
          <w:i w:val="false"/>
          <w:caps w:val="false"/>
          <w:smallCaps w:val="false"/>
          <w:sz w:val="20"/>
        </w:rPr>
        <w:t>9.</w:t>
      </w:r>
      <w:r>
        <w:rPr>
          <w:rFonts w:ascii="Times New Roman;Times;serif" w:hAnsi="Times New Roman;Times;serif"/>
          <w:b/>
          <w:sz w:val="20"/>
        </w:rPr>
        <w:t>Fair Value Measurements and Disclosures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Investment Securities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Available-for-sale securities are recorded at market value and held-to-maturity securities are carried at amortized cost. Fair value measurement is based upon quoted prices, if available. If quoted prices are not available, fair values are measured using independent pricing models or other model-based valuation techniques such as the present value of future cash flows, adjusted for the security’s credit rating, prepayment assumptions and other factors such as credit loss assumptions. Level 1 securities include those traded on an active exchange, such as the New York Stock Exchange, and U.S. Treasury securities that are traded by dealers or brokers in active over-the-counter market funds. Level 2 securities include mortgage-backed securities issued by government sponsored enterprises and state, county and municipal bonds. Securities classified as Level 3 include asset-backed securities in less liquid markets.</w:t>
      </w:r>
    </w:p>
    <w:p>
      <w:pPr>
        <w:pStyle w:val="TextBody"/>
        <w:bidi w:val="0"/>
        <w:spacing w:before="0" w:after="0"/>
        <w:ind w:left="0" w:right="0" w:hanging="0"/>
        <w:jc w:val="left"/>
        <w:rPr/>
      </w:pPr>
      <w:r>
        <w:rPr/>
        <w:t>​</w:t>
      </w:r>
    </w:p>
    <w:tbl>
      <w:tblPr>
        <w:tblW w:w="9258" w:type="dxa"/>
        <w:jc w:val="left"/>
        <w:tblInd w:w="0" w:type="dxa"/>
        <w:tblLayout w:type="fixed"/>
        <w:tblCellMar>
          <w:top w:w="0" w:type="dxa"/>
          <w:left w:w="0" w:type="dxa"/>
          <w:bottom w:w="0" w:type="dxa"/>
          <w:right w:w="0" w:type="dxa"/>
        </w:tblCellMar>
      </w:tblPr>
      <w:tblGrid>
        <w:gridCol w:w="3226"/>
        <w:gridCol w:w="326"/>
        <w:gridCol w:w="460"/>
        <w:gridCol w:w="755"/>
        <w:gridCol w:w="326"/>
        <w:gridCol w:w="211"/>
        <w:gridCol w:w="781"/>
        <w:gridCol w:w="326"/>
        <w:gridCol w:w="414"/>
        <w:gridCol w:w="682"/>
        <w:gridCol w:w="326"/>
        <w:gridCol w:w="273"/>
        <w:gridCol w:w="1152"/>
      </w:tblGrid>
      <w:tr>
        <w:trPr/>
        <w:tc>
          <w:tcPr>
            <w:tcW w:w="3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048510" cy="175260"/>
                      <wp:effectExtent l="0" t="0" r="0" b="0"/>
                      <wp:wrapNone/>
                      <wp:docPr id="259" name="Frame258"/>
                      <a:graphic xmlns:a="http://schemas.openxmlformats.org/drawingml/2006/main">
                        <a:graphicData uri="http://schemas.microsoft.com/office/word/2010/wordprocessingShape">
                          <wps:wsp>
                            <wps:cNvSpPr txBox="1"/>
                            <wps:spPr>
                              <a:xfrm>
                                <a:off x="0" y="0"/>
                                <a:ext cx="2048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07010" cy="175260"/>
                      <wp:effectExtent l="0" t="0" r="0" b="0"/>
                      <wp:wrapNone/>
                      <wp:docPr id="260" name="Frame2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92100" cy="175260"/>
                      <wp:effectExtent l="0" t="0" r="0" b="0"/>
                      <wp:wrapNone/>
                      <wp:docPr id="261" name="Frame260"/>
                      <a:graphic xmlns:a="http://schemas.openxmlformats.org/drawingml/2006/main">
                        <a:graphicData uri="http://schemas.microsoft.com/office/word/2010/wordprocessingShape">
                          <wps:wsp>
                            <wps:cNvSpPr txBox="1"/>
                            <wps:spPr>
                              <a:xfrm>
                                <a:off x="0" y="0"/>
                                <a:ext cx="292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479425" cy="175260"/>
                      <wp:effectExtent l="0" t="0" r="0" b="0"/>
                      <wp:wrapNone/>
                      <wp:docPr id="262" name="Frame261"/>
                      <a:graphic xmlns:a="http://schemas.openxmlformats.org/drawingml/2006/main">
                        <a:graphicData uri="http://schemas.microsoft.com/office/word/2010/wordprocessingShape">
                          <wps:wsp>
                            <wps:cNvSpPr txBox="1"/>
                            <wps:spPr>
                              <a:xfrm>
                                <a:off x="0" y="0"/>
                                <a:ext cx="479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07010" cy="175260"/>
                      <wp:effectExtent l="0" t="0" r="0" b="0"/>
                      <wp:wrapNone/>
                      <wp:docPr id="263" name="Frame2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33985" cy="175260"/>
                      <wp:effectExtent l="0" t="0" r="0" b="0"/>
                      <wp:wrapNone/>
                      <wp:docPr id="264" name="Frame2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495935" cy="175260"/>
                      <wp:effectExtent l="0" t="0" r="0" b="0"/>
                      <wp:wrapNone/>
                      <wp:docPr id="265" name="Frame26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07010" cy="175260"/>
                      <wp:effectExtent l="0" t="0" r="0" b="0"/>
                      <wp:wrapNone/>
                      <wp:docPr id="266" name="Frame2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62890" cy="175260"/>
                      <wp:effectExtent l="0" t="0" r="0" b="0"/>
                      <wp:wrapNone/>
                      <wp:docPr id="267" name="Frame266"/>
                      <a:graphic xmlns:a="http://schemas.openxmlformats.org/drawingml/2006/main">
                        <a:graphicData uri="http://schemas.microsoft.com/office/word/2010/wordprocessingShape">
                          <wps:wsp>
                            <wps:cNvSpPr txBox="1"/>
                            <wps:spPr>
                              <a:xfrm>
                                <a:off x="0" y="0"/>
                                <a:ext cx="262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433070" cy="175260"/>
                      <wp:effectExtent l="0" t="0" r="0" b="0"/>
                      <wp:wrapNone/>
                      <wp:docPr id="268" name="Frame267"/>
                      <a:graphic xmlns:a="http://schemas.openxmlformats.org/drawingml/2006/main">
                        <a:graphicData uri="http://schemas.microsoft.com/office/word/2010/wordprocessingShape">
                          <wps:wsp>
                            <wps:cNvSpPr txBox="1"/>
                            <wps:spPr>
                              <a:xfrm>
                                <a:off x="0" y="0"/>
                                <a:ext cx="433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07010" cy="175260"/>
                      <wp:effectExtent l="0" t="0" r="0" b="0"/>
                      <wp:wrapNone/>
                      <wp:docPr id="269" name="Frame2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73355" cy="175260"/>
                      <wp:effectExtent l="0" t="0" r="0" b="0"/>
                      <wp:wrapNone/>
                      <wp:docPr id="270" name="Frame269"/>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731520" cy="175260"/>
                      <wp:effectExtent l="0" t="0" r="0" b="0"/>
                      <wp:wrapNone/>
                      <wp:docPr id="271" name="Frame270"/>
                      <a:graphic xmlns:a="http://schemas.openxmlformats.org/drawingml/2006/main">
                        <a:graphicData uri="http://schemas.microsoft.com/office/word/2010/wordprocessingShape">
                          <wps:wsp>
                            <wps:cNvSpPr txBox="1"/>
                            <wps:spPr>
                              <a:xfrm>
                                <a:off x="0" y="0"/>
                                <a:ext cx="731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5706"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 Measured at Fair Value on a Recurring Basis</w:t>
            </w:r>
          </w:p>
        </w:tc>
      </w:tr>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70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At September 30, 2025</w:t>
            </w:r>
          </w:p>
        </w:tc>
      </w:tr>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Quoted Prices</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Significant</w:t>
            </w:r>
          </w:p>
        </w:tc>
        <w:tc>
          <w:tcPr>
            <w:tcW w:w="326" w:type="dxa"/>
            <w:tcBorders/>
            <w:vAlign w:val="center"/>
          </w:tcPr>
          <w:p>
            <w:pPr>
              <w:pStyle w:val="TableContents"/>
              <w:bidi w:val="0"/>
              <w:spacing w:before="0" w:after="0"/>
              <w:ind w:left="0" w:right="0" w:hanging="0"/>
              <w:jc w:val="center"/>
              <w:rPr/>
            </w:pPr>
            <w:r>
              <w:rPr/>
              <w:t>    </w:t>
            </w:r>
          </w:p>
        </w:tc>
        <w:tc>
          <w:tcPr>
            <w:tcW w:w="414" w:type="dxa"/>
            <w:tcBorders/>
            <w:vAlign w:val="center"/>
          </w:tcPr>
          <w:p>
            <w:pPr>
              <w:pStyle w:val="TableContents"/>
              <w:bidi w:val="0"/>
              <w:spacing w:before="0" w:after="0"/>
              <w:ind w:left="0" w:right="0" w:hanging="0"/>
              <w:jc w:val="left"/>
              <w:rPr>
                <w:color w:val="231F20"/>
              </w:rPr>
            </w:pPr>
            <w:r>
              <w:rPr>
                <w:color w:val="231F20"/>
              </w:rPr>
              <w:t>​</w:t>
            </w:r>
          </w:p>
        </w:tc>
        <w:tc>
          <w:tcPr>
            <w:tcW w:w="682" w:type="dxa"/>
            <w:tcBorders/>
            <w:vAlign w:val="center"/>
          </w:tcPr>
          <w:p>
            <w:pPr>
              <w:pStyle w:val="TableContents"/>
              <w:bidi w:val="0"/>
              <w:spacing w:before="0" w:after="0"/>
              <w:ind w:left="0" w:right="0" w:hanging="0"/>
              <w:jc w:val="center"/>
              <w:rPr>
                <w:color w:val="231F20"/>
              </w:rPr>
            </w:pPr>
            <w:r>
              <w:rPr>
                <w:color w:val="231F20"/>
              </w:rPr>
              <w:t>​</w:t>
            </w:r>
          </w:p>
        </w:tc>
        <w:tc>
          <w:tcPr>
            <w:tcW w:w="326" w:type="dxa"/>
            <w:tcBorders/>
            <w:vAlign w:val="center"/>
          </w:tcPr>
          <w:p>
            <w:pPr>
              <w:pStyle w:val="TableContents"/>
              <w:bidi w:val="0"/>
              <w:spacing w:before="0" w:after="0"/>
              <w:ind w:left="0" w:right="0" w:hanging="0"/>
              <w:jc w:val="center"/>
              <w:rPr/>
            </w:pPr>
            <w:r>
              <w:rPr/>
              <w:t>    </w:t>
            </w:r>
          </w:p>
        </w:tc>
        <w:tc>
          <w:tcPr>
            <w:tcW w:w="273" w:type="dxa"/>
            <w:tcBorders/>
            <w:vAlign w:val="center"/>
          </w:tcPr>
          <w:p>
            <w:pPr>
              <w:pStyle w:val="TableContents"/>
              <w:bidi w:val="0"/>
              <w:spacing w:before="0" w:after="0"/>
              <w:ind w:left="0" w:right="0" w:hanging="0"/>
              <w:jc w:val="left"/>
              <w:rPr>
                <w:color w:val="231F20"/>
              </w:rPr>
            </w:pPr>
            <w:r>
              <w:rPr>
                <w:color w:val="231F20"/>
              </w:rPr>
              <w:t>​</w:t>
            </w:r>
          </w:p>
        </w:tc>
        <w:tc>
          <w:tcPr>
            <w:tcW w:w="1152" w:type="dxa"/>
            <w:tcBorders/>
            <w:vAlign w:val="center"/>
          </w:tcPr>
          <w:p>
            <w:pPr>
              <w:pStyle w:val="TableContents"/>
              <w:bidi w:val="0"/>
              <w:spacing w:before="0" w:after="0"/>
              <w:ind w:left="0" w:right="0" w:hanging="0"/>
              <w:jc w:val="center"/>
              <w:rPr>
                <w:color w:val="231F20"/>
              </w:rPr>
            </w:pPr>
            <w:r>
              <w:rPr>
                <w:color w:val="231F20"/>
              </w:rPr>
              <w:t>​</w:t>
            </w:r>
          </w:p>
        </w:tc>
      </w:tr>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in Active</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Other</w:t>
            </w:r>
          </w:p>
        </w:tc>
        <w:tc>
          <w:tcPr>
            <w:tcW w:w="326" w:type="dxa"/>
            <w:tcBorders/>
            <w:vAlign w:val="center"/>
          </w:tcPr>
          <w:p>
            <w:pPr>
              <w:pStyle w:val="TableContents"/>
              <w:bidi w:val="0"/>
              <w:spacing w:before="0" w:after="0"/>
              <w:ind w:left="0" w:right="0" w:hanging="0"/>
              <w:jc w:val="center"/>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Significant</w:t>
            </w:r>
          </w:p>
        </w:tc>
        <w:tc>
          <w:tcPr>
            <w:tcW w:w="326" w:type="dxa"/>
            <w:tcBorders/>
            <w:vAlign w:val="center"/>
          </w:tcPr>
          <w:p>
            <w:pPr>
              <w:pStyle w:val="TableContents"/>
              <w:bidi w:val="0"/>
              <w:spacing w:before="0" w:after="0"/>
              <w:ind w:left="0" w:right="0" w:hanging="0"/>
              <w:jc w:val="center"/>
              <w:rPr/>
            </w:pPr>
            <w:r>
              <w:rPr/>
              <w:t>​</w:t>
            </w:r>
          </w:p>
        </w:tc>
        <w:tc>
          <w:tcPr>
            <w:tcW w:w="273" w:type="dxa"/>
            <w:tcBorders/>
            <w:vAlign w:val="center"/>
          </w:tcPr>
          <w:p>
            <w:pPr>
              <w:pStyle w:val="TableContents"/>
              <w:bidi w:val="0"/>
              <w:spacing w:before="0" w:after="0"/>
              <w:ind w:left="0" w:right="0" w:hanging="0"/>
              <w:jc w:val="left"/>
              <w:rPr>
                <w:color w:val="231F20"/>
              </w:rPr>
            </w:pPr>
            <w:r>
              <w:rPr>
                <w:color w:val="231F20"/>
              </w:rPr>
              <w:t>​</w:t>
            </w:r>
          </w:p>
        </w:tc>
        <w:tc>
          <w:tcPr>
            <w:tcW w:w="1152" w:type="dxa"/>
            <w:tcBorders/>
            <w:vAlign w:val="center"/>
          </w:tcPr>
          <w:p>
            <w:pPr>
              <w:pStyle w:val="TableContents"/>
              <w:bidi w:val="0"/>
              <w:spacing w:before="0" w:after="0"/>
              <w:ind w:left="0" w:right="0" w:hanging="0"/>
              <w:jc w:val="center"/>
              <w:rPr>
                <w:color w:val="231F20"/>
              </w:rPr>
            </w:pPr>
            <w:r>
              <w:rPr>
                <w:color w:val="231F20"/>
              </w:rPr>
              <w:t>​</w:t>
            </w:r>
          </w:p>
        </w:tc>
      </w:tr>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Markets for</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Observable</w:t>
            </w:r>
          </w:p>
        </w:tc>
        <w:tc>
          <w:tcPr>
            <w:tcW w:w="326" w:type="dxa"/>
            <w:tcBorders/>
            <w:vAlign w:val="center"/>
          </w:tcPr>
          <w:p>
            <w:pPr>
              <w:pStyle w:val="TableContents"/>
              <w:bidi w:val="0"/>
              <w:spacing w:before="0" w:after="0"/>
              <w:ind w:left="0" w:right="0" w:hanging="0"/>
              <w:jc w:val="center"/>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Unobservable</w:t>
            </w:r>
          </w:p>
        </w:tc>
        <w:tc>
          <w:tcPr>
            <w:tcW w:w="326" w:type="dxa"/>
            <w:tcBorders/>
            <w:vAlign w:val="center"/>
          </w:tcPr>
          <w:p>
            <w:pPr>
              <w:pStyle w:val="TableContents"/>
              <w:bidi w:val="0"/>
              <w:spacing w:before="0" w:after="0"/>
              <w:ind w:left="0" w:right="0" w:hanging="0"/>
              <w:jc w:val="center"/>
              <w:rPr/>
            </w:pPr>
            <w:r>
              <w:rPr/>
              <w:t>​</w:t>
            </w:r>
          </w:p>
        </w:tc>
        <w:tc>
          <w:tcPr>
            <w:tcW w:w="1425" w:type="dxa"/>
            <w:gridSpan w:val="2"/>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Balance</w:t>
            </w:r>
          </w:p>
        </w:tc>
      </w:tr>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Identical Assets</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Inputs</w:t>
            </w:r>
          </w:p>
        </w:tc>
        <w:tc>
          <w:tcPr>
            <w:tcW w:w="326" w:type="dxa"/>
            <w:tcBorders/>
            <w:vAlign w:val="center"/>
          </w:tcPr>
          <w:p>
            <w:pPr>
              <w:pStyle w:val="TableContents"/>
              <w:bidi w:val="0"/>
              <w:spacing w:before="0" w:after="0"/>
              <w:ind w:left="0" w:right="0" w:hanging="0"/>
              <w:jc w:val="center"/>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Inputs</w:t>
            </w:r>
          </w:p>
        </w:tc>
        <w:tc>
          <w:tcPr>
            <w:tcW w:w="326" w:type="dxa"/>
            <w:tcBorders/>
            <w:vAlign w:val="center"/>
          </w:tcPr>
          <w:p>
            <w:pPr>
              <w:pStyle w:val="TableContents"/>
              <w:bidi w:val="0"/>
              <w:spacing w:before="0" w:after="0"/>
              <w:ind w:left="0" w:right="0" w:hanging="0"/>
              <w:jc w:val="center"/>
              <w:rPr/>
            </w:pPr>
            <w:r>
              <w:rPr/>
              <w:t>​</w:t>
            </w:r>
          </w:p>
        </w:tc>
        <w:tc>
          <w:tcPr>
            <w:tcW w:w="1425" w:type="dxa"/>
            <w:gridSpan w:val="2"/>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at September 30, </w:t>
            </w:r>
          </w:p>
        </w:tc>
      </w:tr>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(Level 1)</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(Level 2)</w:t>
            </w:r>
          </w:p>
        </w:tc>
        <w:tc>
          <w:tcPr>
            <w:tcW w:w="326" w:type="dxa"/>
            <w:tcBorders/>
            <w:vAlign w:val="center"/>
          </w:tcPr>
          <w:p>
            <w:pPr>
              <w:pStyle w:val="TableContents"/>
              <w:bidi w:val="0"/>
              <w:spacing w:before="0" w:after="0"/>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(Level 3)</w:t>
            </w:r>
          </w:p>
        </w:tc>
        <w:tc>
          <w:tcPr>
            <w:tcW w:w="326" w:type="dxa"/>
            <w:tcBorders/>
            <w:vAlign w:val="center"/>
          </w:tcPr>
          <w:p>
            <w:pPr>
              <w:pStyle w:val="TableContents"/>
              <w:bidi w:val="0"/>
              <w:spacing w:before="0" w:after="0"/>
              <w:ind w:left="0" w:right="0" w:hanging="0"/>
              <w:jc w:val="center"/>
              <w:rPr/>
            </w:pPr>
            <w:r>
              <w:rPr/>
              <w:t>​</w:t>
            </w:r>
          </w:p>
        </w:tc>
        <w:tc>
          <w:tcPr>
            <w:tcW w:w="14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2025</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Available-for-sale debt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pPr>
            <w:r>
              <w:rPr/>
              <w:t>​</w:t>
            </w:r>
          </w:p>
        </w:tc>
        <w:tc>
          <w:tcPr>
            <w:tcW w:w="75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414" w:type="dxa"/>
            <w:tcBorders/>
            <w:shd w:fill="CCEEFF" w:val="clear"/>
            <w:vAlign w:val="center"/>
          </w:tcPr>
          <w:p>
            <w:pPr>
              <w:pStyle w:val="TableContents"/>
              <w:bidi w:val="0"/>
              <w:spacing w:before="0" w:after="0"/>
              <w:ind w:left="0" w:right="0" w:hanging="0"/>
              <w:jc w:val="left"/>
              <w:rPr/>
            </w:pPr>
            <w:r>
              <w:rPr/>
              <w:t>​</w:t>
            </w:r>
          </w:p>
        </w:tc>
        <w:tc>
          <w:tcPr>
            <w:tcW w:w="682"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73" w:type="dxa"/>
            <w:tcBorders/>
            <w:shd w:fill="CCEEFF" w:val="clear"/>
            <w:vAlign w:val="center"/>
          </w:tcPr>
          <w:p>
            <w:pPr>
              <w:pStyle w:val="TableContents"/>
              <w:bidi w:val="0"/>
              <w:spacing w:before="0" w:after="0"/>
              <w:ind w:left="0" w:right="0" w:hanging="0"/>
              <w:jc w:val="left"/>
              <w:rPr/>
            </w:pPr>
            <w:r>
              <w:rPr/>
              <w:t>​</w:t>
            </w:r>
          </w:p>
        </w:tc>
        <w:tc>
          <w:tcPr>
            <w:tcW w:w="1152" w:type="dxa"/>
            <w:tcBorders/>
            <w:shd w:fill="CCEEFF" w:val="clear"/>
            <w:vAlign w:val="center"/>
          </w:tcPr>
          <w:p>
            <w:pPr>
              <w:pStyle w:val="TableContents"/>
              <w:bidi w:val="0"/>
              <w:spacing w:before="0" w:after="0"/>
              <w:ind w:left="0" w:right="0" w:hanging="0"/>
              <w:jc w:val="right"/>
              <w:rPr/>
            </w:pPr>
            <w:r>
              <w:rPr/>
              <w:t>  </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Mortgage-backed</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460" w:type="dxa"/>
            <w:tcBorders/>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755" w:type="dxa"/>
            <w:tcBorders/>
            <w:vAlign w:val="center"/>
          </w:tcPr>
          <w:p>
            <w:pPr>
              <w:pStyle w:val="TableContents"/>
              <w:bidi w:val="0"/>
              <w:spacing w:before="0" w:after="0"/>
              <w:ind w:left="0" w:right="0" w:hanging="0"/>
              <w:jc w:val="right"/>
              <w:rPr>
                <w:color w:val="231F20"/>
              </w:rPr>
            </w:pPr>
            <w:r>
              <w:rPr>
                <w:color w:val="231F20"/>
              </w:rPr>
              <w:t>—</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69,466</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414" w:type="dxa"/>
            <w:tcBorders/>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682" w:type="dxa"/>
            <w:tcBorders/>
            <w:vAlign w:val="center"/>
          </w:tcPr>
          <w:p>
            <w:pPr>
              <w:pStyle w:val="TableContents"/>
              <w:bidi w:val="0"/>
              <w:spacing w:before="0" w:after="0"/>
              <w:ind w:left="0" w:right="0" w:hanging="0"/>
              <w:jc w:val="right"/>
              <w:rPr>
                <w:color w:val="231F20"/>
              </w:rPr>
            </w:pPr>
            <w:r>
              <w:rPr>
                <w:color w:val="231F20"/>
              </w:rPr>
              <w:t>—</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73" w:type="dxa"/>
            <w:tcBorders/>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1152" w:type="dxa"/>
            <w:tcBorders/>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69,466</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Agencies</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460"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55"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38,194</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414"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682"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73"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52" w:type="dxa"/>
            <w:tcBorders/>
            <w:shd w:fill="CCEEFF" w:val="cle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38,194</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Municipal bonds</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460"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755" w:type="dxa"/>
            <w:tcBorders>
              <w:bottom w:val="single" w:sz="2" w:space="0" w:color="000000"/>
            </w:tcBorders>
            <w:tcMar>
              <w:bottom w:w="28" w:type="dxa"/>
            </w:tcMar>
            <w:vAlign w:val="center"/>
          </w:tcPr>
          <w:p>
            <w:pPr>
              <w:pStyle w:val="TableContents"/>
              <w:bidi w:val="0"/>
              <w:spacing w:before="0" w:after="0"/>
              <w:ind w:left="0" w:right="0" w:hanging="0"/>
              <w:jc w:val="right"/>
              <w:rPr>
                <w:color w:val="231F20"/>
              </w:rPr>
            </w:pPr>
            <w:r>
              <w:rPr>
                <w:color w:val="231F20"/>
              </w:rPr>
              <w:t>—</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1,181</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414"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682" w:type="dxa"/>
            <w:tcBorders>
              <w:bottom w:val="single" w:sz="2" w:space="0" w:color="000000"/>
            </w:tcBorders>
            <w:tcMar>
              <w:bottom w:w="28" w:type="dxa"/>
            </w:tcMar>
            <w:vAlign w:val="center"/>
          </w:tcPr>
          <w:p>
            <w:pPr>
              <w:pStyle w:val="TableContents"/>
              <w:bidi w:val="0"/>
              <w:spacing w:before="0" w:after="0"/>
              <w:ind w:left="0" w:right="0" w:hanging="0"/>
              <w:jc w:val="right"/>
              <w:rPr>
                <w:color w:val="231F20"/>
              </w:rPr>
            </w:pPr>
            <w:r>
              <w:rPr>
                <w:color w:val="231F20"/>
              </w:rPr>
              <w:t>—</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73"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w:t>
            </w:r>
          </w:p>
        </w:tc>
        <w:tc>
          <w:tcPr>
            <w:tcW w:w="11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1,181</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Total available-for-sale debt securities</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4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108,841</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4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6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115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color w:val="231F20"/>
                <w:sz w:val="20"/>
              </w:rPr>
            </w:pPr>
            <w:r>
              <w:rPr>
                <w:rFonts w:ascii="Times New Roman;Times;serif" w:hAnsi="Times New Roman;Times;serif"/>
                <w:b/>
                <w:color w:val="231F20"/>
                <w:sz w:val="20"/>
              </w:rPr>
              <w:t>108,841</w:t>
            </w:r>
          </w:p>
        </w:tc>
      </w:tr>
    </w:tbl>
    <w:p>
      <w:pPr>
        <w:pStyle w:val="TextBody"/>
        <w:bidi w:val="0"/>
        <w:spacing w:before="0" w:after="0"/>
        <w:ind w:left="0" w:right="0" w:hanging="0"/>
        <w:jc w:val="left"/>
        <w:rPr>
          <w:shd w:fill="FFFF00" w:val="clear"/>
        </w:rPr>
      </w:pPr>
      <w:r>
        <w:rPr>
          <w:shd w:fill="FFFF00" w:val="clear"/>
        </w:rPr>
        <w:t>​</w:t>
      </w:r>
    </w:p>
    <w:tbl>
      <w:tblPr>
        <w:tblW w:w="9213" w:type="dxa"/>
        <w:jc w:val="left"/>
        <w:tblInd w:w="0" w:type="dxa"/>
        <w:tblLayout w:type="fixed"/>
        <w:tblCellMar>
          <w:top w:w="0" w:type="dxa"/>
          <w:left w:w="0" w:type="dxa"/>
          <w:bottom w:w="0" w:type="dxa"/>
          <w:right w:w="0" w:type="dxa"/>
        </w:tblCellMar>
      </w:tblPr>
      <w:tblGrid>
        <w:gridCol w:w="3226"/>
        <w:gridCol w:w="326"/>
        <w:gridCol w:w="327"/>
        <w:gridCol w:w="888"/>
        <w:gridCol w:w="326"/>
        <w:gridCol w:w="211"/>
        <w:gridCol w:w="781"/>
        <w:gridCol w:w="326"/>
        <w:gridCol w:w="414"/>
        <w:gridCol w:w="682"/>
        <w:gridCol w:w="326"/>
        <w:gridCol w:w="265"/>
        <w:gridCol w:w="1115"/>
      </w:tblGrid>
      <w:tr>
        <w:trPr/>
        <w:tc>
          <w:tcPr>
            <w:tcW w:w="3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048510" cy="175260"/>
                      <wp:effectExtent l="0" t="0" r="0" b="0"/>
                      <wp:wrapNone/>
                      <wp:docPr id="272" name="Frame271"/>
                      <a:graphic xmlns:a="http://schemas.openxmlformats.org/drawingml/2006/main">
                        <a:graphicData uri="http://schemas.microsoft.com/office/word/2010/wordprocessingShape">
                          <wps:wsp>
                            <wps:cNvSpPr txBox="1"/>
                            <wps:spPr>
                              <a:xfrm>
                                <a:off x="0" y="0"/>
                                <a:ext cx="2048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07010" cy="175260"/>
                      <wp:effectExtent l="0" t="0" r="0" b="0"/>
                      <wp:wrapNone/>
                      <wp:docPr id="273" name="Frame2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07645" cy="175260"/>
                      <wp:effectExtent l="0" t="0" r="0" b="0"/>
                      <wp:wrapNone/>
                      <wp:docPr id="274" name="Frame273"/>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563880" cy="175260"/>
                      <wp:effectExtent l="0" t="0" r="0" b="0"/>
                      <wp:wrapNone/>
                      <wp:docPr id="275" name="Frame274"/>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07010" cy="175260"/>
                      <wp:effectExtent l="0" t="0" r="0" b="0"/>
                      <wp:wrapNone/>
                      <wp:docPr id="276" name="Frame2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33985" cy="175260"/>
                      <wp:effectExtent l="0" t="0" r="0" b="0"/>
                      <wp:wrapNone/>
                      <wp:docPr id="277" name="Frame2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495935" cy="175260"/>
                      <wp:effectExtent l="0" t="0" r="0" b="0"/>
                      <wp:wrapNone/>
                      <wp:docPr id="278" name="Frame27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07010" cy="175260"/>
                      <wp:effectExtent l="0" t="0" r="0" b="0"/>
                      <wp:wrapNone/>
                      <wp:docPr id="279" name="Frame2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62890" cy="175260"/>
                      <wp:effectExtent l="0" t="0" r="0" b="0"/>
                      <wp:wrapNone/>
                      <wp:docPr id="280" name="Frame279"/>
                      <a:graphic xmlns:a="http://schemas.openxmlformats.org/drawingml/2006/main">
                        <a:graphicData uri="http://schemas.microsoft.com/office/word/2010/wordprocessingShape">
                          <wps:wsp>
                            <wps:cNvSpPr txBox="1"/>
                            <wps:spPr>
                              <a:xfrm>
                                <a:off x="0" y="0"/>
                                <a:ext cx="262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433070" cy="175260"/>
                      <wp:effectExtent l="0" t="0" r="0" b="0"/>
                      <wp:wrapNone/>
                      <wp:docPr id="281" name="Frame280"/>
                      <a:graphic xmlns:a="http://schemas.openxmlformats.org/drawingml/2006/main">
                        <a:graphicData uri="http://schemas.microsoft.com/office/word/2010/wordprocessingShape">
                          <wps:wsp>
                            <wps:cNvSpPr txBox="1"/>
                            <wps:spPr>
                              <a:xfrm>
                                <a:off x="0" y="0"/>
                                <a:ext cx="433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07010" cy="175260"/>
                      <wp:effectExtent l="0" t="0" r="0" b="0"/>
                      <wp:wrapNone/>
                      <wp:docPr id="282" name="Frame2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68275" cy="175260"/>
                      <wp:effectExtent l="0" t="0" r="0" b="0"/>
                      <wp:wrapNone/>
                      <wp:docPr id="283" name="Frame282"/>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708025" cy="175260"/>
                      <wp:effectExtent l="0" t="0" r="0" b="0"/>
                      <wp:wrapNone/>
                      <wp:docPr id="284" name="Frame283"/>
                      <a:graphic xmlns:a="http://schemas.openxmlformats.org/drawingml/2006/main">
                        <a:graphicData uri="http://schemas.microsoft.com/office/word/2010/wordprocessingShape">
                          <wps:wsp>
                            <wps:cNvSpPr txBox="1"/>
                            <wps:spPr>
                              <a:xfrm>
                                <a:off x="0" y="0"/>
                                <a:ext cx="708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5661" w:type="dxa"/>
            <w:gridSpan w:val="11"/>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 Measured at Fair Value on a Recurring Basis</w:t>
            </w:r>
          </w:p>
        </w:tc>
      </w:tr>
      <w:tr>
        <w:trPr/>
        <w:tc>
          <w:tcPr>
            <w:tcW w:w="32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5661"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At December 31, 2024</w:t>
            </w:r>
          </w:p>
        </w:tc>
      </w:tr>
      <w:tr>
        <w:trPr/>
        <w:tc>
          <w:tcPr>
            <w:tcW w:w="32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215" w:type="dxa"/>
            <w:gridSpan w:val="2"/>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Quoted Prices</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Significant</w:t>
            </w:r>
          </w:p>
        </w:tc>
        <w:tc>
          <w:tcPr>
            <w:tcW w:w="326" w:type="dxa"/>
            <w:tcBorders/>
            <w:vAlign w:val="center"/>
          </w:tcPr>
          <w:p>
            <w:pPr>
              <w:pStyle w:val="TableContents"/>
              <w:bidi w:val="0"/>
              <w:spacing w:before="0" w:after="1"/>
              <w:ind w:left="0" w:right="0" w:hanging="0"/>
              <w:jc w:val="center"/>
              <w:rPr/>
            </w:pPr>
            <w:r>
              <w:rPr/>
              <w:t>    </w:t>
            </w:r>
          </w:p>
        </w:tc>
        <w:tc>
          <w:tcPr>
            <w:tcW w:w="414" w:type="dxa"/>
            <w:tcBorders/>
            <w:vAlign w:val="center"/>
          </w:tcPr>
          <w:p>
            <w:pPr>
              <w:pStyle w:val="TableContents"/>
              <w:bidi w:val="0"/>
              <w:spacing w:before="0" w:after="1"/>
              <w:ind w:left="0" w:right="0" w:hanging="0"/>
              <w:jc w:val="left"/>
              <w:rPr>
                <w:color w:val="231F20"/>
              </w:rPr>
            </w:pPr>
            <w:r>
              <w:rPr>
                <w:color w:val="231F20"/>
              </w:rPr>
              <w:t>​</w:t>
            </w:r>
          </w:p>
        </w:tc>
        <w:tc>
          <w:tcPr>
            <w:tcW w:w="682" w:type="dxa"/>
            <w:tcBorders/>
            <w:vAlign w:val="center"/>
          </w:tcPr>
          <w:p>
            <w:pPr>
              <w:pStyle w:val="TableContents"/>
              <w:bidi w:val="0"/>
              <w:spacing w:before="0" w:after="1"/>
              <w:ind w:left="0" w:right="0" w:hanging="0"/>
              <w:jc w:val="center"/>
              <w:rPr>
                <w:color w:val="231F20"/>
              </w:rPr>
            </w:pPr>
            <w:r>
              <w:rPr>
                <w:color w:val="231F20"/>
              </w:rPr>
              <w:t>​</w:t>
            </w:r>
          </w:p>
        </w:tc>
        <w:tc>
          <w:tcPr>
            <w:tcW w:w="326" w:type="dxa"/>
            <w:tcBorders/>
            <w:vAlign w:val="center"/>
          </w:tcPr>
          <w:p>
            <w:pPr>
              <w:pStyle w:val="TableContents"/>
              <w:bidi w:val="0"/>
              <w:spacing w:before="0" w:after="1"/>
              <w:ind w:left="0" w:right="0" w:hanging="0"/>
              <w:jc w:val="center"/>
              <w:rPr/>
            </w:pPr>
            <w:r>
              <w:rPr/>
              <w:t>    </w:t>
            </w:r>
          </w:p>
        </w:tc>
        <w:tc>
          <w:tcPr>
            <w:tcW w:w="265" w:type="dxa"/>
            <w:tcBorders/>
            <w:vAlign w:val="center"/>
          </w:tcPr>
          <w:p>
            <w:pPr>
              <w:pStyle w:val="TableContents"/>
              <w:bidi w:val="0"/>
              <w:spacing w:before="0" w:after="1"/>
              <w:ind w:left="0" w:right="0" w:hanging="0"/>
              <w:jc w:val="left"/>
              <w:rPr>
                <w:color w:val="231F20"/>
              </w:rPr>
            </w:pPr>
            <w:r>
              <w:rPr>
                <w:color w:val="231F20"/>
              </w:rPr>
              <w:t>​</w:t>
            </w:r>
          </w:p>
        </w:tc>
        <w:tc>
          <w:tcPr>
            <w:tcW w:w="1115" w:type="dxa"/>
            <w:tcBorders/>
            <w:vAlign w:val="center"/>
          </w:tcPr>
          <w:p>
            <w:pPr>
              <w:pStyle w:val="TableContents"/>
              <w:bidi w:val="0"/>
              <w:spacing w:before="0" w:after="1"/>
              <w:ind w:left="0" w:right="0" w:hanging="0"/>
              <w:jc w:val="center"/>
              <w:rPr>
                <w:color w:val="231F20"/>
              </w:rPr>
            </w:pPr>
            <w:r>
              <w:rPr>
                <w:color w:val="231F20"/>
              </w:rPr>
              <w:t>​</w:t>
            </w:r>
          </w:p>
        </w:tc>
      </w:tr>
      <w:tr>
        <w:trPr/>
        <w:tc>
          <w:tcPr>
            <w:tcW w:w="32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15" w:type="dxa"/>
            <w:gridSpan w:val="2"/>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in Active</w:t>
            </w:r>
          </w:p>
        </w:tc>
        <w:tc>
          <w:tcPr>
            <w:tcW w:w="32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Other</w:t>
            </w:r>
          </w:p>
        </w:tc>
        <w:tc>
          <w:tcPr>
            <w:tcW w:w="326" w:type="dxa"/>
            <w:tcBorders/>
            <w:vAlign w:val="center"/>
          </w:tcPr>
          <w:p>
            <w:pPr>
              <w:pStyle w:val="TableContents"/>
              <w:bidi w:val="0"/>
              <w:spacing w:before="0" w:after="1"/>
              <w:ind w:left="0" w:right="0" w:hanging="0"/>
              <w:jc w:val="center"/>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Significant</w:t>
            </w:r>
          </w:p>
        </w:tc>
        <w:tc>
          <w:tcPr>
            <w:tcW w:w="326" w:type="dxa"/>
            <w:tcBorders/>
            <w:vAlign w:val="center"/>
          </w:tcPr>
          <w:p>
            <w:pPr>
              <w:pStyle w:val="TableContents"/>
              <w:bidi w:val="0"/>
              <w:spacing w:before="0" w:after="1"/>
              <w:ind w:left="0" w:right="0" w:hanging="0"/>
              <w:jc w:val="center"/>
              <w:rPr/>
            </w:pPr>
            <w:r>
              <w:rPr/>
              <w:t>​</w:t>
            </w:r>
          </w:p>
        </w:tc>
        <w:tc>
          <w:tcPr>
            <w:tcW w:w="265" w:type="dxa"/>
            <w:tcBorders/>
            <w:vAlign w:val="center"/>
          </w:tcPr>
          <w:p>
            <w:pPr>
              <w:pStyle w:val="TableContents"/>
              <w:bidi w:val="0"/>
              <w:spacing w:before="0" w:after="1"/>
              <w:ind w:left="0" w:right="0" w:hanging="0"/>
              <w:jc w:val="left"/>
              <w:rPr>
                <w:color w:val="231F20"/>
              </w:rPr>
            </w:pPr>
            <w:r>
              <w:rPr>
                <w:color w:val="231F20"/>
              </w:rPr>
              <w:t>​</w:t>
            </w:r>
          </w:p>
        </w:tc>
        <w:tc>
          <w:tcPr>
            <w:tcW w:w="1115" w:type="dxa"/>
            <w:tcBorders/>
            <w:vAlign w:val="center"/>
          </w:tcPr>
          <w:p>
            <w:pPr>
              <w:pStyle w:val="TableContents"/>
              <w:bidi w:val="0"/>
              <w:spacing w:before="0" w:after="1"/>
              <w:ind w:left="0" w:right="0" w:hanging="0"/>
              <w:jc w:val="center"/>
              <w:rPr>
                <w:color w:val="231F20"/>
              </w:rPr>
            </w:pPr>
            <w:r>
              <w:rPr>
                <w:color w:val="231F20"/>
              </w:rPr>
              <w:t>​</w:t>
            </w:r>
          </w:p>
        </w:tc>
      </w:tr>
      <w:tr>
        <w:trPr/>
        <w:tc>
          <w:tcPr>
            <w:tcW w:w="32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15" w:type="dxa"/>
            <w:gridSpan w:val="2"/>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Markets for</w:t>
            </w:r>
          </w:p>
        </w:tc>
        <w:tc>
          <w:tcPr>
            <w:tcW w:w="32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Observable</w:t>
            </w:r>
          </w:p>
        </w:tc>
        <w:tc>
          <w:tcPr>
            <w:tcW w:w="326" w:type="dxa"/>
            <w:tcBorders/>
            <w:vAlign w:val="center"/>
          </w:tcPr>
          <w:p>
            <w:pPr>
              <w:pStyle w:val="TableContents"/>
              <w:bidi w:val="0"/>
              <w:spacing w:before="0" w:after="1"/>
              <w:ind w:left="0" w:right="0" w:hanging="0"/>
              <w:jc w:val="center"/>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Unobservable</w:t>
            </w:r>
          </w:p>
        </w:tc>
        <w:tc>
          <w:tcPr>
            <w:tcW w:w="326" w:type="dxa"/>
            <w:tcBorders/>
            <w:vAlign w:val="center"/>
          </w:tcPr>
          <w:p>
            <w:pPr>
              <w:pStyle w:val="TableContents"/>
              <w:bidi w:val="0"/>
              <w:spacing w:before="0" w:after="1"/>
              <w:ind w:left="0" w:right="0" w:hanging="0"/>
              <w:jc w:val="center"/>
              <w:rPr/>
            </w:pPr>
            <w:r>
              <w:rPr/>
              <w:t>​</w:t>
            </w:r>
          </w:p>
        </w:tc>
        <w:tc>
          <w:tcPr>
            <w:tcW w:w="1380" w:type="dxa"/>
            <w:gridSpan w:val="2"/>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Balance</w:t>
            </w:r>
          </w:p>
        </w:tc>
      </w:tr>
      <w:tr>
        <w:trPr/>
        <w:tc>
          <w:tcPr>
            <w:tcW w:w="32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15" w:type="dxa"/>
            <w:gridSpan w:val="2"/>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Identical Assets</w:t>
            </w:r>
          </w:p>
        </w:tc>
        <w:tc>
          <w:tcPr>
            <w:tcW w:w="32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Inputs</w:t>
            </w:r>
          </w:p>
        </w:tc>
        <w:tc>
          <w:tcPr>
            <w:tcW w:w="326" w:type="dxa"/>
            <w:tcBorders/>
            <w:vAlign w:val="center"/>
          </w:tcPr>
          <w:p>
            <w:pPr>
              <w:pStyle w:val="TableContents"/>
              <w:bidi w:val="0"/>
              <w:spacing w:before="0" w:after="1"/>
              <w:ind w:left="0" w:right="0" w:hanging="0"/>
              <w:jc w:val="center"/>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Inputs</w:t>
            </w:r>
          </w:p>
        </w:tc>
        <w:tc>
          <w:tcPr>
            <w:tcW w:w="326" w:type="dxa"/>
            <w:tcBorders/>
            <w:vAlign w:val="center"/>
          </w:tcPr>
          <w:p>
            <w:pPr>
              <w:pStyle w:val="TableContents"/>
              <w:bidi w:val="0"/>
              <w:spacing w:before="0" w:after="1"/>
              <w:ind w:left="0" w:right="0" w:hanging="0"/>
              <w:jc w:val="center"/>
              <w:rPr/>
            </w:pPr>
            <w:r>
              <w:rPr/>
              <w:t>​</w:t>
            </w:r>
          </w:p>
        </w:tc>
        <w:tc>
          <w:tcPr>
            <w:tcW w:w="1380" w:type="dxa"/>
            <w:gridSpan w:val="2"/>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at December 31, </w:t>
            </w:r>
          </w:p>
        </w:tc>
      </w:tr>
      <w:tr>
        <w:trPr/>
        <w:tc>
          <w:tcPr>
            <w:tcW w:w="32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(Level 1)</w:t>
            </w:r>
          </w:p>
        </w:tc>
        <w:tc>
          <w:tcPr>
            <w:tcW w:w="326"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(Level 2)</w:t>
            </w:r>
          </w:p>
        </w:tc>
        <w:tc>
          <w:tcPr>
            <w:tcW w:w="326" w:type="dxa"/>
            <w:tcBorders/>
            <w:vAlign w:val="center"/>
          </w:tcPr>
          <w:p>
            <w:pPr>
              <w:pStyle w:val="TableContents"/>
              <w:bidi w:val="0"/>
              <w:spacing w:before="0" w:after="1"/>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(Level 3)</w:t>
            </w:r>
          </w:p>
        </w:tc>
        <w:tc>
          <w:tcPr>
            <w:tcW w:w="326" w:type="dxa"/>
            <w:tcBorders/>
            <w:vAlign w:val="center"/>
          </w:tcPr>
          <w:p>
            <w:pPr>
              <w:pStyle w:val="TableContents"/>
              <w:bidi w:val="0"/>
              <w:spacing w:before="0" w:after="1"/>
              <w:ind w:left="0" w:right="0" w:hanging="0"/>
              <w:jc w:val="center"/>
              <w:rPr/>
            </w:pPr>
            <w:r>
              <w:rPr/>
              <w:t>​</w:t>
            </w:r>
          </w:p>
        </w:tc>
        <w:tc>
          <w:tcPr>
            <w:tcW w:w="13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2024</w:t>
            </w:r>
          </w:p>
        </w:tc>
      </w:tr>
      <w:tr>
        <w:trPr/>
        <w:tc>
          <w:tcPr>
            <w:tcW w:w="322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Available-for-sale debt securities:</w:t>
            </w:r>
          </w:p>
        </w:tc>
        <w:tc>
          <w:tcPr>
            <w:tcW w:w="326" w:type="dxa"/>
            <w:tcBorders/>
            <w:shd w:fill="CCEEFF" w:val="clear"/>
            <w:vAlign w:val="center"/>
          </w:tcPr>
          <w:p>
            <w:pPr>
              <w:pStyle w:val="TableContents"/>
              <w:bidi w:val="0"/>
              <w:spacing w:before="0" w:after="1"/>
              <w:ind w:left="0" w:right="0" w:hanging="0"/>
              <w:jc w:val="left"/>
              <w:rPr/>
            </w:pPr>
            <w:r>
              <w:rPr/>
              <w:t> </w:t>
            </w:r>
          </w:p>
        </w:tc>
        <w:tc>
          <w:tcPr>
            <w:tcW w:w="327" w:type="dxa"/>
            <w:tcBorders/>
            <w:shd w:fill="CCEEFF" w:val="clear"/>
            <w:vAlign w:val="center"/>
          </w:tcPr>
          <w:p>
            <w:pPr>
              <w:pStyle w:val="TableContents"/>
              <w:bidi w:val="0"/>
              <w:spacing w:before="0" w:after="1"/>
              <w:ind w:left="0" w:right="0" w:hanging="0"/>
              <w:jc w:val="left"/>
              <w:rPr/>
            </w:pPr>
            <w:r>
              <w:rPr/>
              <w:t>​</w:t>
            </w:r>
          </w:p>
        </w:tc>
        <w:tc>
          <w:tcPr>
            <w:tcW w:w="888"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414" w:type="dxa"/>
            <w:tcBorders/>
            <w:shd w:fill="CCEEFF" w:val="clear"/>
            <w:vAlign w:val="center"/>
          </w:tcPr>
          <w:p>
            <w:pPr>
              <w:pStyle w:val="TableContents"/>
              <w:bidi w:val="0"/>
              <w:spacing w:before="0" w:after="1"/>
              <w:ind w:left="0" w:right="0" w:hanging="0"/>
              <w:jc w:val="left"/>
              <w:rPr/>
            </w:pPr>
            <w:r>
              <w:rPr/>
              <w:t>​</w:t>
            </w:r>
          </w:p>
        </w:tc>
        <w:tc>
          <w:tcPr>
            <w:tcW w:w="682"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65" w:type="dxa"/>
            <w:tcBorders/>
            <w:shd w:fill="CCEEFF" w:val="clear"/>
            <w:vAlign w:val="center"/>
          </w:tcPr>
          <w:p>
            <w:pPr>
              <w:pStyle w:val="TableContents"/>
              <w:bidi w:val="0"/>
              <w:spacing w:before="0" w:after="1"/>
              <w:ind w:left="0" w:right="0" w:hanging="0"/>
              <w:jc w:val="left"/>
              <w:rPr/>
            </w:pPr>
            <w:r>
              <w:rPr/>
              <w:t>​</w:t>
            </w:r>
          </w:p>
        </w:tc>
        <w:tc>
          <w:tcPr>
            <w:tcW w:w="1115" w:type="dxa"/>
            <w:tcBorders/>
            <w:shd w:fill="CCEEFF" w:val="clear"/>
            <w:vAlign w:val="center"/>
          </w:tcPr>
          <w:p>
            <w:pPr>
              <w:pStyle w:val="TableContents"/>
              <w:bidi w:val="0"/>
              <w:spacing w:before="0" w:after="1"/>
              <w:ind w:left="0" w:right="0" w:hanging="0"/>
              <w:jc w:val="right"/>
              <w:rPr/>
            </w:pPr>
            <w:r>
              <w:rPr/>
              <w:t>  </w:t>
            </w:r>
          </w:p>
        </w:tc>
      </w:tr>
      <w:tr>
        <w:trPr/>
        <w:tc>
          <w:tcPr>
            <w:tcW w:w="3226"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Mortgage-backed </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327"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888"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75,108</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414"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682"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265"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115"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75,108</w:t>
            </w:r>
          </w:p>
        </w:tc>
      </w:tr>
      <w:tr>
        <w:trPr/>
        <w:tc>
          <w:tcPr>
            <w:tcW w:w="322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Agencies </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327"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888"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35,841</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414"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682"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65"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115"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35,841</w:t>
            </w:r>
          </w:p>
        </w:tc>
      </w:tr>
      <w:tr>
        <w:trPr/>
        <w:tc>
          <w:tcPr>
            <w:tcW w:w="3226"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Municipal Bonds </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327" w:type="dxa"/>
            <w:tcBorders/>
            <w:vAlign w:val="center"/>
          </w:tcPr>
          <w:p>
            <w:pPr>
              <w:pStyle w:val="TableContents"/>
              <w:bidi w:val="0"/>
              <w:spacing w:before="0" w:after="1"/>
              <w:ind w:left="0" w:right="0" w:hanging="0"/>
              <w:jc w:val="left"/>
              <w:rPr>
                <w:color w:val="231F20"/>
              </w:rPr>
            </w:pPr>
            <w:r>
              <w:rPr>
                <w:color w:val="231F20"/>
              </w:rPr>
              <w:t> </w:t>
            </w:r>
          </w:p>
        </w:tc>
        <w:tc>
          <w:tcPr>
            <w:tcW w:w="888"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1,131</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414" w:type="dxa"/>
            <w:tcBorders/>
            <w:vAlign w:val="center"/>
          </w:tcPr>
          <w:p>
            <w:pPr>
              <w:pStyle w:val="TableContents"/>
              <w:bidi w:val="0"/>
              <w:spacing w:before="0" w:after="1"/>
              <w:ind w:left="0" w:right="0" w:hanging="0"/>
              <w:jc w:val="left"/>
              <w:rPr>
                <w:color w:val="231F20"/>
              </w:rPr>
            </w:pPr>
            <w:r>
              <w:rPr>
                <w:color w:val="231F20"/>
              </w:rPr>
              <w:t> </w:t>
            </w:r>
          </w:p>
        </w:tc>
        <w:tc>
          <w:tcPr>
            <w:tcW w:w="682" w:type="dxa"/>
            <w:tcBorders/>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265" w:type="dxa"/>
            <w:tcBorders/>
            <w:vAlign w:val="center"/>
          </w:tcPr>
          <w:p>
            <w:pPr>
              <w:pStyle w:val="TableContents"/>
              <w:bidi w:val="0"/>
              <w:spacing w:before="0" w:after="1"/>
              <w:ind w:left="0" w:right="0" w:hanging="0"/>
              <w:jc w:val="left"/>
              <w:rPr>
                <w:color w:val="231F20"/>
              </w:rPr>
            </w:pPr>
            <w:r>
              <w:rPr>
                <w:color w:val="231F20"/>
              </w:rPr>
              <w:t> </w:t>
            </w:r>
          </w:p>
        </w:tc>
        <w:tc>
          <w:tcPr>
            <w:tcW w:w="1115"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1,131</w:t>
            </w:r>
          </w:p>
        </w:tc>
      </w:tr>
      <w:tr>
        <w:trPr/>
        <w:tc>
          <w:tcPr>
            <w:tcW w:w="322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Treasuries </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3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8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4,475</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4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6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6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11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4,475</w:t>
            </w:r>
          </w:p>
        </w:tc>
      </w:tr>
      <w:tr>
        <w:trPr/>
        <w:tc>
          <w:tcPr>
            <w:tcW w:w="3226"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Total available-for-sale debt securities</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32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88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4,475</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112,080</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4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682" w:type="dxa"/>
            <w:tcBorders>
              <w:bottom w:val="double" w:sz="6" w:space="0" w:color="000000"/>
            </w:tcBorders>
            <w:tcMar>
              <w:bottom w:w="28" w:type="dxa"/>
            </w:tcMar>
            <w:vAlign w:val="center"/>
          </w:tcPr>
          <w:p>
            <w:pPr>
              <w:pStyle w:val="TableContents"/>
              <w:bidi w:val="0"/>
              <w:spacing w:before="0" w:after="1"/>
              <w:ind w:left="0" w:right="0" w:hanging="0"/>
              <w:jc w:val="right"/>
              <w:rPr>
                <w:color w:val="231F20"/>
              </w:rPr>
            </w:pPr>
            <w:r>
              <w:rPr>
                <w:color w:val="231F20"/>
              </w:rPr>
              <w:t>—</w:t>
            </w:r>
          </w:p>
        </w:tc>
        <w:tc>
          <w:tcPr>
            <w:tcW w:w="326" w:type="dxa"/>
            <w:tcBorders/>
            <w:vAlign w:val="center"/>
          </w:tcPr>
          <w:p>
            <w:pPr>
              <w:pStyle w:val="TableContents"/>
              <w:bidi w:val="0"/>
              <w:spacing w:before="0" w:after="1"/>
              <w:ind w:left="0" w:right="0" w:hanging="0"/>
              <w:jc w:val="left"/>
              <w:rPr>
                <w:color w:val="231F20"/>
              </w:rPr>
            </w:pPr>
            <w:r>
              <w:rPr>
                <w:color w:val="231F20"/>
              </w:rPr>
              <w:t>​</w:t>
            </w:r>
          </w:p>
        </w:tc>
        <w:tc>
          <w:tcPr>
            <w:tcW w:w="26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115"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color w:val="231F20"/>
                <w:sz w:val="20"/>
              </w:rPr>
            </w:pPr>
            <w:r>
              <w:rPr>
                <w:rFonts w:ascii="Times New Roman;Times;serif" w:hAnsi="Times New Roman;Times;serif"/>
                <w:color w:val="231F20"/>
                <w:sz w:val="20"/>
              </w:rPr>
              <w:t>116,555</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Bank estimates the fair value of these investments through independent pricing sources. Independent pricing sources utilize information such as similar security transactions and observable yield curves to estimate the fair value of individual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Bank Owned Life Insurance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carrying value of bank owned life insurance approximates fair value.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Other Investments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carrying value of other investments includes FHLB Stock and Bankers Bank stock and approximates fair value.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HOYNE SAVINGS, MHC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9.</w:t>
      </w:r>
      <w:r>
        <w:rPr>
          <w:rFonts w:ascii="Times New Roman;Times;serif" w:hAnsi="Times New Roman;Times;serif"/>
          <w:b/>
          <w:sz w:val="20"/>
        </w:rPr>
        <w:t>Fair Value Measurements and Disclosures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Loans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Bank does not record loans at fair value on a recurring basis. However, from time to time, a loan is considered individually evaluated and a specific reserve is established within the allowance for credit losses. Loans for which it is probable that payment of interest and principal will not be made in accordance with the contractual terms of the loan agreement are individually evaluated. Once a loan is identified as individually evaluated, management measures specific reserves in accordance with GAAP. The fair value of individually evaluated loans is estimated using one of three methods, including collateral value, market value of similar debt, and discounted cash flows. Those individually evaluated loans not requiring an allowance represent loans for which the fair value of the expected repayments or collateral exceed the recorded investments in such loans. In accordance with GAAP, individually evaluated loans where an allowance is established based on the fair value of collateral require classification in the fair value hierarchy. When the fair value of the collateral is based on an observable market price, the Bank records the individually evaluated loan as nonrecurring Level 2. When an appraised value is used or an appraisal is not available or management determines the fair value of the collateral is further impaired below the appraised value and there is no observable market price, the Bank records the individually evaluated loan as nonrecurring Level 3. For disclosure purposes, the fair value of fixed rate loans which are not considered individually evaluated is estimated by discounting the future cash flows using the current rates at which similar loans would be made to borrowers with similar credit ratings. For collectively evaluated variable rate loans, the carrying amount is a reasonable estimate of fair value for disclosure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Real Estate Owned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real estate properties are adjusted to fair value upon transfer of the loans to real estate owned. Subsequently, real estate owned assets are carried at fair value less estimated selling costs. Fair value is based upon independent market prices, appraised values of the collateral or management’s estimation of the value of the collateral. When the fair value of the collateral is based on an observable market price, the Bank records the other real estate as nonrecurring Level 2. When an appraised value is used or an appraisal is not available or management determines the fair value of the collateral is further impaired below the appraised value and there is no observable market price, the Bank records the other real estate asset as nonrecurring Level 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Deposits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fair value of passbook savings accounts, interest-bearing checking accounts, noninterest-bearing checking accounts and market rate checking accounts is the amount payable on demand at the reporting date, while the fair value of fixed maturity certificate of deposits is estimated by discounting the future cash flows using current rates at which comparable certificates would be issued.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FHLB Advances and Other Borrowings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Federal Home Loan Bank advances are carried at cost and the fair value is obtained from the Federal Home Loan Bank of Atlanta. Federal Funds Purchased are carried at cost and because they are overnight funds, the carrying value is a reasonable estimate of fair value.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Assets Recorded at Fair Value on a Recurring Basis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Bank’s only assets recorded at fair value on a recurring basis are available-for-sale securities that had a fair value of $108.8 million at September 30, 2025 and $116.6 million at December 31, 2024. They are classified as Level 1 and Level 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HOYNE SAVINGS, MHC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left"/>
        <w:rPr>
          <w:rFonts w:ascii="Times New Roman;Times;serif" w:hAnsi="Times New Roman;Times;serif"/>
          <w:b/>
          <w:sz w:val="20"/>
        </w:rPr>
      </w:pPr>
      <w:bookmarkStart w:id="1664" w:name="Tc_V_ZlZLWiwUeZrluq5ioIAQ_17_2"/>
      <w:bookmarkStart w:id="1665" w:name="Tc_I-t1y_nhu0C5MpsPbFMBJw_17_0"/>
      <w:bookmarkStart w:id="1666" w:name="Tc_S6tvb0ZOQUyA99_HfHDLhA_16_2"/>
      <w:bookmarkStart w:id="1667" w:name="Tc_u_Uuucj3U0C1RF-a0QQeNw_16_0"/>
      <w:bookmarkStart w:id="1668" w:name="Tc_dw8k8nn3sES7d0ZcB6FcSA_15_0"/>
      <w:bookmarkStart w:id="1669" w:name="Tc_zBdQnO3i10KgDKsaPImFdg_14_2"/>
      <w:bookmarkStart w:id="1670" w:name="Tc_iTtG3Zugqkm01MVsHTwkKw_14_0"/>
      <w:bookmarkStart w:id="1671" w:name="Tc_grTNH3aUI0e2aKGvzs8nNg_13_2"/>
      <w:bookmarkStart w:id="1672" w:name="Tc_w_RQiShmQ0uVdasjBnDbzA_13_0"/>
      <w:bookmarkStart w:id="1673" w:name="Tc_KUYGMyUooU2HlUf3hsgSyA_12_2"/>
      <w:bookmarkStart w:id="1674" w:name="Tc_n6wH2wA160m59RD0uXGIMQ_12_0"/>
      <w:bookmarkStart w:id="1675" w:name="Tc_4ZYFaX9A4EO4KGuwoatIaQ_11_2"/>
      <w:bookmarkStart w:id="1676" w:name="Tc_LFIgWUcsikKhxws5Ii5GaQ_11_0"/>
      <w:bookmarkStart w:id="1677" w:name="Tc_tb72awIu-kavhDd_J-Q3bg_10_2"/>
      <w:bookmarkStart w:id="1678" w:name="Tc_OWBvE5Hy4060y-isrI4CSQ_10_0"/>
      <w:bookmarkStart w:id="1679" w:name="Tc_5vgX73vHZk28GVx2c88Sag_9_8"/>
      <w:bookmarkStart w:id="1680" w:name="Tc_-oRzjhptmky2MNtvEZOn3Q_9_5"/>
      <w:bookmarkStart w:id="1681" w:name="Tc_wQtu4dtteU2NPi9jy7tC_A_9_2"/>
      <w:bookmarkStart w:id="1682" w:name="Tc_25gSvIbDpkW8TdWuDGj4SA_9_0"/>
      <w:bookmarkStart w:id="1683" w:name="Tc_Jq5uxBpmU0WWgbPCmKaLzw_8_2"/>
      <w:bookmarkStart w:id="1684" w:name="Tc_cALQES83j0OhAmWZP0qGEg_8_0"/>
      <w:bookmarkStart w:id="1685" w:name="Tc_SNyOLAjaVUKiM2Okyzy9QA_7_2"/>
      <w:bookmarkStart w:id="1686" w:name="Tc_fLM8Tr2uZEOQMQwGxvT8Kg_7_0"/>
      <w:bookmarkStart w:id="1687" w:name="Tc_0jya1dJzWkybVJsLXJkZaA_6_13"/>
      <w:bookmarkStart w:id="1688" w:name="Tc_hemUausj8062vAHuwq9rGQ_6_10"/>
      <w:bookmarkStart w:id="1689" w:name="Tc_BYUv6UI85Uy1wsrCCwcqWQ_6_7"/>
      <w:bookmarkStart w:id="1690" w:name="Tc_X2MsD1C9gE61MDOqf8-T8g_6_4"/>
      <w:bookmarkStart w:id="1691" w:name="Tc_xUxakn--_k-YD6W6v7FRPQ_6_2"/>
      <w:bookmarkStart w:id="1692" w:name="Tc_H9MDBZRo30-LuR6d6D9PQQ_6_0"/>
      <w:bookmarkStart w:id="1693" w:name="Tc_4kISpXB2DkayPZ9oujesJA_5_0"/>
      <w:bookmarkStart w:id="1694" w:name="Tc_9Fihz05CF0iMGtbk9EYvkw_4_13"/>
      <w:bookmarkStart w:id="1695" w:name="Tc_CxV8Wp73OUaOGO7RkMTCCA_4_10"/>
      <w:bookmarkStart w:id="1696" w:name="Tc_PRF87QOmXUGKItmdhkSD_g_4_7"/>
      <w:bookmarkStart w:id="1697" w:name="Tc_8xoxe2INoki5DOCw-oAieA_4_4"/>
      <w:bookmarkStart w:id="1698" w:name="Tc_ATwtibHPZkW71D6CqPIknw_3_13"/>
      <w:bookmarkStart w:id="1699" w:name="Tc_F_ehYciQVEW38hpBUtgwkA_3_10"/>
      <w:bookmarkStart w:id="1700" w:name="Tc_3UiFr-iFnkydXC6W3AZNjA_3_7"/>
      <w:bookmarkStart w:id="1701" w:name="Tc_NnpavZr9FkKF5DtBcvdvnQ_3_4"/>
      <w:bookmarkStart w:id="1702" w:name="Tc_goWek899yESon0iWh_jW6w_2_10"/>
      <w:bookmarkStart w:id="1703" w:name="Tc_4esujATkz0Gdehm-OmFRZA_2_4"/>
      <w:bookmarkStart w:id="1704" w:name="Tc_7LLK4-W8MEyd5NUX1EkE8g_1_10"/>
      <w:bookmarkStart w:id="1705" w:name="Tc_eGFoTZeiOUOeSVbc_O7hDQ_1_4"/>
      <w:bookmarkStart w:id="1706" w:name="_99485edb_5375_4c2a_bbda_083dccfbeba9"/>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r>
        <w:rPr>
          <w:rFonts w:ascii="Times New Roman;Times;serif" w:hAnsi="Times New Roman;Times;serif"/>
          <w:b/>
          <w:i w:val="false"/>
          <w:caps w:val="false"/>
          <w:smallCaps w:val="false"/>
          <w:sz w:val="20"/>
        </w:rPr>
        <w:t>9.</w:t>
      </w:r>
      <w:r>
        <w:rPr>
          <w:rFonts w:ascii="Times New Roman;Times;serif" w:hAnsi="Times New Roman;Times;serif"/>
          <w:b/>
          <w:sz w:val="20"/>
        </w:rPr>
        <w:t>Fair Value Measurements and Disclosures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Assets Recorded at Fair Value on a Nonrecurring Basis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Bank may be required, from time to time, to measure certain assets at fair value on a nonrecurring basis in accordance with GAAP. These include assets that are measured at the lower of cost or market that were recognized at fair value below cost at the end of the period. There were no assets measured at fair value on a nonrecurring basis as of September 30, 2025 and December 31,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carrying amounts and estimated fair value (in thousands) of the Bank’s financial instruments at September 30, 2025 and December 31, 2024 are as follows (in thousands):</w:t>
      </w:r>
    </w:p>
    <w:tbl>
      <w:tblPr>
        <w:tblW w:w="8690" w:type="dxa"/>
        <w:jc w:val="left"/>
        <w:tblInd w:w="0" w:type="dxa"/>
        <w:tblLayout w:type="fixed"/>
        <w:tblCellMar>
          <w:top w:w="0" w:type="dxa"/>
          <w:left w:w="0" w:type="dxa"/>
          <w:bottom w:w="0" w:type="dxa"/>
          <w:right w:w="0" w:type="dxa"/>
        </w:tblCellMar>
      </w:tblPr>
      <w:tblGrid>
        <w:gridCol w:w="2326"/>
        <w:gridCol w:w="326"/>
        <w:gridCol w:w="721"/>
        <w:gridCol w:w="326"/>
        <w:gridCol w:w="211"/>
        <w:gridCol w:w="781"/>
        <w:gridCol w:w="326"/>
        <w:gridCol w:w="211"/>
        <w:gridCol w:w="781"/>
        <w:gridCol w:w="326"/>
        <w:gridCol w:w="211"/>
        <w:gridCol w:w="781"/>
        <w:gridCol w:w="326"/>
        <w:gridCol w:w="211"/>
        <w:gridCol w:w="826"/>
      </w:tblGrid>
      <w:tr>
        <w:trPr/>
        <w:tc>
          <w:tcPr>
            <w:tcW w:w="2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477010" cy="175260"/>
                      <wp:effectExtent l="0" t="0" r="0" b="0"/>
                      <wp:wrapNone/>
                      <wp:docPr id="285" name="Frame284"/>
                      <a:graphic xmlns:a="http://schemas.openxmlformats.org/drawingml/2006/main">
                        <a:graphicData uri="http://schemas.microsoft.com/office/word/2010/wordprocessingShape">
                          <wps:wsp>
                            <wps:cNvSpPr txBox="1"/>
                            <wps:spPr>
                              <a:xfrm>
                                <a:off x="0" y="0"/>
                                <a:ext cx="147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07010" cy="175260"/>
                      <wp:effectExtent l="0" t="0" r="0" b="0"/>
                      <wp:wrapNone/>
                      <wp:docPr id="286" name="Frame2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457835" cy="175260"/>
                      <wp:effectExtent l="0" t="0" r="0" b="0"/>
                      <wp:wrapNone/>
                      <wp:docPr id="287" name="Frame28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07010" cy="175260"/>
                      <wp:effectExtent l="0" t="0" r="0" b="0"/>
                      <wp:wrapNone/>
                      <wp:docPr id="288" name="Frame2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33985" cy="175260"/>
                      <wp:effectExtent l="0" t="0" r="0" b="0"/>
                      <wp:wrapNone/>
                      <wp:docPr id="289" name="Frame2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495935" cy="175260"/>
                      <wp:effectExtent l="0" t="0" r="0" b="0"/>
                      <wp:wrapNone/>
                      <wp:docPr id="290" name="Frame28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07010" cy="175260"/>
                      <wp:effectExtent l="0" t="0" r="0" b="0"/>
                      <wp:wrapNone/>
                      <wp:docPr id="291" name="Frame2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33985" cy="175260"/>
                      <wp:effectExtent l="0" t="0" r="0" b="0"/>
                      <wp:wrapNone/>
                      <wp:docPr id="292" name="Frame2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495935" cy="175260"/>
                      <wp:effectExtent l="0" t="0" r="0" b="0"/>
                      <wp:wrapNone/>
                      <wp:docPr id="293" name="Frame29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07010" cy="175260"/>
                      <wp:effectExtent l="0" t="0" r="0" b="0"/>
                      <wp:wrapNone/>
                      <wp:docPr id="294" name="Frame2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33985" cy="175260"/>
                      <wp:effectExtent l="0" t="0" r="0" b="0"/>
                      <wp:wrapNone/>
                      <wp:docPr id="295" name="Frame2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495935" cy="175260"/>
                      <wp:effectExtent l="0" t="0" r="0" b="0"/>
                      <wp:wrapNone/>
                      <wp:docPr id="296" name="Frame29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07010" cy="175260"/>
                      <wp:effectExtent l="0" t="0" r="0" b="0"/>
                      <wp:wrapNone/>
                      <wp:docPr id="297" name="Frame2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33985" cy="175260"/>
                      <wp:effectExtent l="0" t="0" r="0" b="0"/>
                      <wp:wrapNone/>
                      <wp:docPr id="298" name="Frame2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524510" cy="175260"/>
                      <wp:effectExtent l="0" t="0" r="0" b="0"/>
                      <wp:wrapNone/>
                      <wp:docPr id="299" name="Frame29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26" w:type="dxa"/>
            <w:tcBorders/>
            <w:vAlign w:val="center"/>
          </w:tcPr>
          <w:p>
            <w:pPr>
              <w:pStyle w:val="TableContents"/>
              <w:bidi w:val="0"/>
              <w:spacing w:before="0" w:after="0"/>
              <w:ind w:left="0" w:right="0" w:hanging="0"/>
              <w:jc w:val="center"/>
              <w:rPr/>
            </w:pPr>
            <w:r>
              <w:rPr/>
              <w:t>​</w:t>
            </w:r>
          </w:p>
        </w:tc>
        <w:tc>
          <w:tcPr>
            <w:tcW w:w="23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2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w:t>
            </w:r>
          </w:p>
        </w:tc>
        <w:tc>
          <w:tcPr>
            <w:tcW w:w="23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26" w:type="dxa"/>
            <w:tcBorders/>
            <w:vAlign w:val="center"/>
          </w:tcPr>
          <w:p>
            <w:pPr>
              <w:pStyle w:val="TableContents"/>
              <w:bidi w:val="0"/>
              <w:spacing w:before="0" w:after="0"/>
              <w:ind w:left="0" w:right="0" w:hanging="0"/>
              <w:jc w:val="center"/>
              <w:rPr/>
            </w:pPr>
            <w:r>
              <w:rPr/>
              <w:t>​</w:t>
            </w:r>
          </w:p>
        </w:tc>
        <w:tc>
          <w:tcPr>
            <w:tcW w:w="10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2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center"/>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26,928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26,928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15,327</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Certificates of deposit</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1,350</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securities AFS</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108,841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108,841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112,080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112,080</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Treasuries</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4,475</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securities HTM</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29,804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27,278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34,022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30,415</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Investments</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2,158</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 receivable</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1,394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1,394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1,481</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net</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249,401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239,677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240,928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232,226</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 owned life insurance</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14,783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14,783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16,990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16,990</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center"/>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Deposits</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356,821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309,431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357,292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355,997</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 payable</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773</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Limitations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Fair value estimates are made at a specific point in time, based on relevant market information and information about the financial instrument. These estimates do not reflect any premium or discount that could result from offering for sale at one time the Bank’s entire holdings of a particular financial instrument. Because no market exists for a significant portion of the Bank’s financial instruments, fair value estimates are based on many judgments. These estimates are subjective in nature and involve uncertainties and matters of significant judgment and therefore cannot be determined with precision. Changes in assumptions could significantly affect the estimates.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deferred income taxes and premises and equipment. In addition, the tax ramifications related to the realization of the unrealized gains and losses can have a significant effect on fair value estimates and have not been considered in the estimates.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HOYNE SAVINGS, MHC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left"/>
        <w:rPr>
          <w:rFonts w:ascii="Times New Roman;Times;serif" w:hAnsi="Times New Roman;Times;serif"/>
          <w:b/>
          <w:sz w:val="20"/>
        </w:rPr>
      </w:pPr>
      <w:bookmarkStart w:id="1707" w:name="Tc_QEftgKmm7k6lBfhj25lt4g_11_11"/>
      <w:bookmarkStart w:id="1708" w:name="Tc_4ylwnA3GVkCl8VcPk4h79g_11_7"/>
      <w:bookmarkStart w:id="1709" w:name="Tc_Qwfa_F3VQUebYpPTGNtSwA_11_6"/>
      <w:bookmarkStart w:id="1710" w:name="Tc_4x1XshQzSU29LBiU720OUg_11_2"/>
      <w:bookmarkStart w:id="1711" w:name="Tc_43u5oJau0UiAcSYCGedyCA_11_0"/>
      <w:bookmarkStart w:id="1712" w:name="Tc_qwEBd939c0WkX-O5zGCDMw_10_0"/>
      <w:bookmarkStart w:id="1713" w:name="Tc_iGfIQY6s-0SIYw_Js48o5Q_9_11"/>
      <w:bookmarkStart w:id="1714" w:name="Tc_AjEkq2OD4kqO1wEj5d_Htg_9_7"/>
      <w:bookmarkStart w:id="1715" w:name="Tc_s-UZOlsGP02OvjqzUiWUAw_9_6"/>
      <w:bookmarkStart w:id="1716" w:name="Tc_MIQf2pD7BUupeCMn_VD7Lw_9_2"/>
      <w:bookmarkStart w:id="1717" w:name="Tc_fpGuBpPKh0uVdvy0ZDT9Ow_9_0"/>
      <w:bookmarkStart w:id="1718" w:name="Tc_3NEgpqj5VUGPfT9bTRXdDA_8_0"/>
      <w:bookmarkStart w:id="1719" w:name="Tc_-stDJlvEtEG98BCT69_FRA_7_10"/>
      <w:bookmarkStart w:id="1720" w:name="Tc_sk_UNPTXQEyD5-avNEJj5A_7_7"/>
      <w:bookmarkStart w:id="1721" w:name="Tc_7fxEGT6v20y4nG6HW0dkRA_7_5"/>
      <w:bookmarkStart w:id="1722" w:name="Tc_Fi6nsXKSske-yABdQF-Omg_7_2"/>
      <w:bookmarkStart w:id="1723" w:name="Tc_PcGTbsPlaEyoxvxCkftA6g_6_7"/>
      <w:bookmarkStart w:id="1724" w:name="Tc_-tteSyyBBUCNsWPQ_aXmlQ_6_2"/>
      <w:bookmarkStart w:id="1725" w:name="Tc_ZZXUGbmmKEWqqrW5uauPgg_5_7"/>
      <w:bookmarkStart w:id="1726" w:name="Tc_0IfXUWCCHUmvYIUSd22ELg_4_7"/>
      <w:bookmarkStart w:id="1727" w:name="Tc_BzWmyqaiL02NAizvxMzTNA_3_7"/>
      <w:bookmarkStart w:id="1728" w:name="Tc_UQ-q7gRnpkSJhw76dIt3_g_2_7"/>
      <w:bookmarkStart w:id="1729" w:name="Tc_rXDCobaAtky3XD2pX9M9OQ_1_7"/>
      <w:bookmarkStart w:id="1730" w:name="_66ded31c_e395_440b_96b1_8942957d8f9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r>
        <w:rPr>
          <w:rFonts w:ascii="Times New Roman;Times;serif" w:hAnsi="Times New Roman;Times;serif"/>
          <w:b/>
          <w:i w:val="false"/>
          <w:caps w:val="false"/>
          <w:smallCaps w:val="false"/>
          <w:sz w:val="20"/>
        </w:rPr>
        <w:t>10.</w:t>
      </w:r>
      <w:r>
        <w:rPr>
          <w:rFonts w:ascii="Times New Roman;Times;serif" w:hAnsi="Times New Roman;Times;serif"/>
          <w:b/>
          <w:sz w:val="20"/>
        </w:rPr>
        <w:t>Regulatory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Bank is required to maintain minimum levels of net worth. At September 30, 2025 and December 31, 2024, the Bank’s net worth exceeded these requirements.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Bank is subject to various regulatory capital requirements administered by the federal banking agencies. Failure to meet minimum capital requirements can initiate certain mandatory, and possibly additional discretionary actions by regulators that, if undertaken, could have a direct material effect on the Company’s financial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capital adequacy guidelines and the regulatory framework for prompt corrective action, the Bank must meet specific capital guidelines that involve quantitative measures of the Bank’s assets, liabilities, and certain off-balance sheet items, as calculated under regulatory accounting practices. The Bank’s capital amounts and classification may also be subject to qualitative judgments by the regulators about components, risk weightings, and other factors.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Bank qualified for and elected to opt into the optional Community Bank Leverage Ratio Framework (“CBLRF”). The CBLRF provides for a simple measure of capital adequacy for certain community banking organizations consistent with section 201 of the Economic Growth, Regulatory Relief, and Consumer Protection Act. Generally, depository institutions and depository institution holding companies that have less than $10 billion in total consolidated assets and meet other qualifying criteria, including a Tier 1 leverage ratio of greater than nine percent, are considered qualifying community banking organizations and are eligible to opt into the community bank leverage ratio framework.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Qualifying community banking organizations that elect to use the CBLRF and that maintain a leverage ratio of greater than nine percent are considered to have satisfied the risk-based and leverage capital requirements in the agencies’ generally applicable capital rule. Additionally, such insured depository institutions are considered to have met the well-capitalized ratio requirements for purposes of section 38 of the Federal Deposit Insurance Act. The CBLRF does not have a total capital requirement; therefore, an electing banking organization is not required to calculate Tier 2 capital or make any Tier 2 capital deductions under the generally applicable capital rule. The leverage ratio required for purposes of the CBLRF is calculated as Tier 1 capital divided by average total consolidated assets, consistent with how banking organizations calculate their leverage ratio under the generally applicable capital rule. The table below presents the leverage ratio and capital adequacy requirements under the CBLRF.</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Management believes, as of September 30, 2025 and December 31, 2024, that the Bank meets all capital adequacy requirements to which it is subject. The most recent notification from Regulatory Authorities categorized the Bank as well capitalized under the regulatory framework for prompt corrective action. There are no conditions or events since that notification that management believes have changed the Bank’s category.</w:t>
      </w:r>
    </w:p>
    <w:p>
      <w:pPr>
        <w:pStyle w:val="TextBody"/>
        <w:bidi w:val="0"/>
        <w:spacing w:before="0" w:after="0"/>
        <w:ind w:left="0" w:right="0" w:hanging="0"/>
        <w:jc w:val="left"/>
        <w:rPr/>
      </w:pPr>
      <w:r>
        <w:rPr/>
        <w:t>​</w:t>
      </w:r>
    </w:p>
    <w:tbl>
      <w:tblPr>
        <w:tblW w:w="8952" w:type="dxa"/>
        <w:jc w:val="left"/>
        <w:tblInd w:w="0" w:type="dxa"/>
        <w:tblLayout w:type="fixed"/>
        <w:tblCellMar>
          <w:top w:w="0" w:type="dxa"/>
          <w:left w:w="0" w:type="dxa"/>
          <w:bottom w:w="0" w:type="dxa"/>
          <w:right w:w="0" w:type="dxa"/>
        </w:tblCellMar>
      </w:tblPr>
      <w:tblGrid>
        <w:gridCol w:w="4441"/>
        <w:gridCol w:w="326"/>
        <w:gridCol w:w="211"/>
        <w:gridCol w:w="676"/>
        <w:gridCol w:w="326"/>
        <w:gridCol w:w="511"/>
        <w:gridCol w:w="391"/>
        <w:gridCol w:w="211"/>
        <w:gridCol w:w="676"/>
        <w:gridCol w:w="326"/>
        <w:gridCol w:w="511"/>
        <w:gridCol w:w="346"/>
      </w:tblGrid>
      <w:tr>
        <w:trPr/>
        <w:tc>
          <w:tcPr>
            <w:tcW w:w="4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820035" cy="175260"/>
                      <wp:effectExtent l="0" t="0" r="0" b="0"/>
                      <wp:wrapNone/>
                      <wp:docPr id="300" name="Frame299"/>
                      <a:graphic xmlns:a="http://schemas.openxmlformats.org/drawingml/2006/main">
                        <a:graphicData uri="http://schemas.microsoft.com/office/word/2010/wordprocessingShape">
                          <wps:wsp>
                            <wps:cNvSpPr txBox="1"/>
                            <wps:spPr>
                              <a:xfrm>
                                <a:off x="0" y="0"/>
                                <a:ext cx="2820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07010" cy="175260"/>
                      <wp:effectExtent l="0" t="0" r="0" b="0"/>
                      <wp:wrapNone/>
                      <wp:docPr id="301" name="Frame3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33985" cy="175260"/>
                      <wp:effectExtent l="0" t="0" r="0" b="0"/>
                      <wp:wrapNone/>
                      <wp:docPr id="302" name="Frame3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429260" cy="175260"/>
                      <wp:effectExtent l="0" t="0" r="0" b="0"/>
                      <wp:wrapNone/>
                      <wp:docPr id="303" name="Frame30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07010" cy="175260"/>
                      <wp:effectExtent l="0" t="0" r="0" b="0"/>
                      <wp:wrapNone/>
                      <wp:docPr id="304" name="Frame3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324485" cy="175260"/>
                      <wp:effectExtent l="0" t="0" r="0" b="0"/>
                      <wp:wrapNone/>
                      <wp:docPr id="305" name="Frame304"/>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48285" cy="175260"/>
                      <wp:effectExtent l="0" t="0" r="0" b="0"/>
                      <wp:wrapNone/>
                      <wp:docPr id="306" name="Frame30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33985" cy="175260"/>
                      <wp:effectExtent l="0" t="0" r="0" b="0"/>
                      <wp:wrapNone/>
                      <wp:docPr id="307" name="Frame3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429260" cy="175260"/>
                      <wp:effectExtent l="0" t="0" r="0" b="0"/>
                      <wp:wrapNone/>
                      <wp:docPr id="308" name="Frame30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07010" cy="175260"/>
                      <wp:effectExtent l="0" t="0" r="0" b="0"/>
                      <wp:wrapNone/>
                      <wp:docPr id="309" name="Frame3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324485" cy="175260"/>
                      <wp:effectExtent l="0" t="0" r="0" b="0"/>
                      <wp:wrapNone/>
                      <wp:docPr id="310" name="Frame309"/>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19710" cy="175260"/>
                      <wp:effectExtent l="0" t="0" r="0" b="0"/>
                      <wp:wrapNone/>
                      <wp:docPr id="311" name="Frame3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41" w:type="dxa"/>
            <w:tcBorders/>
            <w:vAlign w:val="center"/>
          </w:tcPr>
          <w:p>
            <w:pPr>
              <w:pStyle w:val="TableContents"/>
              <w:bidi w:val="0"/>
              <w:spacing w:before="0" w:after="0"/>
              <w:ind w:left="0" w:right="0" w:hanging="0"/>
              <w:jc w:val="left"/>
              <w:rPr>
                <w:color w:val="231F20"/>
              </w:rPr>
            </w:pPr>
            <w:r>
              <w:rPr>
                <w:color w:val="231F20"/>
              </w:rPr>
              <w:t>​</w:t>
            </w:r>
          </w:p>
        </w:tc>
        <w:tc>
          <w:tcPr>
            <w:tcW w:w="326" w:type="dxa"/>
            <w:tcBorders/>
            <w:vAlign w:val="center"/>
          </w:tcPr>
          <w:p>
            <w:pPr>
              <w:pStyle w:val="TableContents"/>
              <w:bidi w:val="0"/>
              <w:spacing w:before="0" w:after="0"/>
              <w:ind w:left="0" w:right="0" w:hanging="0"/>
              <w:jc w:val="center"/>
              <w:rPr>
                <w:color w:val="231F20"/>
              </w:rPr>
            </w:pPr>
            <w:r>
              <w:rPr>
                <w:color w:val="231F20"/>
              </w:rPr>
              <w:t>​</w:t>
            </w:r>
          </w:p>
        </w:tc>
        <w:tc>
          <w:tcPr>
            <w:tcW w:w="211" w:type="dxa"/>
            <w:tcBorders/>
            <w:vAlign w:val="center"/>
          </w:tcPr>
          <w:p>
            <w:pPr>
              <w:pStyle w:val="TableContents"/>
              <w:bidi w:val="0"/>
              <w:spacing w:before="0" w:after="0"/>
              <w:ind w:left="0" w:right="0" w:hanging="0"/>
              <w:jc w:val="center"/>
              <w:rPr>
                <w:color w:val="231F20"/>
              </w:rPr>
            </w:pPr>
            <w:r>
              <w:rPr>
                <w:color w:val="231F20"/>
              </w:rPr>
              <w:t>​</w:t>
            </w:r>
          </w:p>
        </w:tc>
        <w:tc>
          <w:tcPr>
            <w:tcW w:w="676" w:type="dxa"/>
            <w:tcBorders/>
            <w:vAlign w:val="center"/>
          </w:tcPr>
          <w:p>
            <w:pPr>
              <w:pStyle w:val="TableContents"/>
              <w:bidi w:val="0"/>
              <w:spacing w:before="0" w:after="0"/>
              <w:ind w:left="0" w:right="0" w:hanging="0"/>
              <w:jc w:val="center"/>
              <w:rPr>
                <w:color w:val="231F20"/>
              </w:rPr>
            </w:pPr>
            <w:r>
              <w:rPr>
                <w:color w:val="231F20"/>
              </w:rPr>
              <w:t>​</w:t>
            </w:r>
          </w:p>
        </w:tc>
        <w:tc>
          <w:tcPr>
            <w:tcW w:w="326" w:type="dxa"/>
            <w:tcBorders/>
            <w:vAlign w:val="center"/>
          </w:tcPr>
          <w:p>
            <w:pPr>
              <w:pStyle w:val="TableContents"/>
              <w:bidi w:val="0"/>
              <w:spacing w:before="0" w:after="0"/>
              <w:ind w:left="0" w:right="0" w:hanging="0"/>
              <w:jc w:val="center"/>
              <w:rPr>
                <w:color w:val="231F20"/>
              </w:rPr>
            </w:pPr>
            <w:r>
              <w:rPr>
                <w:color w:val="231F20"/>
              </w:rPr>
              <w:t>​</w:t>
            </w:r>
          </w:p>
        </w:tc>
        <w:tc>
          <w:tcPr>
            <w:tcW w:w="511" w:type="dxa"/>
            <w:tcBorders/>
            <w:vAlign w:val="center"/>
          </w:tcPr>
          <w:p>
            <w:pPr>
              <w:pStyle w:val="TableContents"/>
              <w:bidi w:val="0"/>
              <w:spacing w:before="0" w:after="0"/>
              <w:ind w:left="0" w:right="0" w:hanging="0"/>
              <w:jc w:val="center"/>
              <w:rPr>
                <w:color w:val="231F20"/>
              </w:rPr>
            </w:pPr>
            <w:r>
              <w:rPr>
                <w:color w:val="231F20"/>
              </w:rPr>
              <w:t>​</w:t>
            </w:r>
          </w:p>
        </w:tc>
        <w:tc>
          <w:tcPr>
            <w:tcW w:w="391" w:type="dxa"/>
            <w:tcBorders/>
            <w:vAlign w:val="center"/>
          </w:tcPr>
          <w:p>
            <w:pPr>
              <w:pStyle w:val="TableContents"/>
              <w:bidi w:val="0"/>
              <w:spacing w:before="0" w:after="0"/>
              <w:ind w:left="0" w:right="0" w:hanging="0"/>
              <w:jc w:val="left"/>
              <w:rPr>
                <w:color w:val="231F20"/>
              </w:rPr>
            </w:pPr>
            <w:r>
              <w:rPr>
                <w:color w:val="231F20"/>
              </w:rPr>
              <w:t>​</w:t>
            </w:r>
          </w:p>
        </w:tc>
        <w:tc>
          <w:tcPr>
            <w:tcW w:w="1724" w:type="dxa"/>
            <w:gridSpan w:val="4"/>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Requirements </w:t>
            </w:r>
          </w:p>
        </w:tc>
        <w:tc>
          <w:tcPr>
            <w:tcW w:w="346" w:type="dxa"/>
            <w:tcBorders/>
            <w:vAlign w:val="center"/>
          </w:tcPr>
          <w:p>
            <w:pPr>
              <w:pStyle w:val="TableContents"/>
              <w:bidi w:val="0"/>
              <w:spacing w:before="0" w:after="0"/>
              <w:ind w:left="0" w:right="0" w:hanging="0"/>
              <w:jc w:val="center"/>
              <w:rPr>
                <w:color w:val="231F20"/>
              </w:rPr>
            </w:pPr>
            <w:r>
              <w:rPr>
                <w:color w:val="231F20"/>
              </w:rPr>
              <w:t> </w:t>
            </w:r>
          </w:p>
        </w:tc>
      </w:tr>
      <w:tr>
        <w:trPr/>
        <w:tc>
          <w:tcPr>
            <w:tcW w:w="4441" w:type="dxa"/>
            <w:tcBorders/>
            <w:vAlign w:val="center"/>
          </w:tcPr>
          <w:p>
            <w:pPr>
              <w:pStyle w:val="TableContents"/>
              <w:bidi w:val="0"/>
              <w:spacing w:before="0" w:after="0"/>
              <w:ind w:left="0" w:right="0" w:hanging="0"/>
              <w:jc w:val="left"/>
              <w:rPr>
                <w:color w:val="231F20"/>
              </w:rPr>
            </w:pPr>
            <w:r>
              <w:rPr>
                <w:color w:val="231F20"/>
              </w:rPr>
              <w:t>​</w:t>
            </w:r>
          </w:p>
        </w:tc>
        <w:tc>
          <w:tcPr>
            <w:tcW w:w="326" w:type="dxa"/>
            <w:tcBorders/>
            <w:vAlign w:val="center"/>
          </w:tcPr>
          <w:p>
            <w:pPr>
              <w:pStyle w:val="TableContents"/>
              <w:bidi w:val="0"/>
              <w:spacing w:before="0" w:after="0"/>
              <w:ind w:left="0" w:right="0" w:hanging="0"/>
              <w:jc w:val="center"/>
              <w:rPr>
                <w:color w:val="231F20"/>
              </w:rPr>
            </w:pPr>
            <w:r>
              <w:rPr>
                <w:color w:val="231F20"/>
              </w:rPr>
              <w:t>​</w:t>
            </w:r>
          </w:p>
        </w:tc>
        <w:tc>
          <w:tcPr>
            <w:tcW w:w="211" w:type="dxa"/>
            <w:tcBorders/>
            <w:vAlign w:val="center"/>
          </w:tcPr>
          <w:p>
            <w:pPr>
              <w:pStyle w:val="TableContents"/>
              <w:bidi w:val="0"/>
              <w:spacing w:before="0" w:after="0"/>
              <w:ind w:left="0" w:right="0" w:hanging="0"/>
              <w:jc w:val="center"/>
              <w:rPr>
                <w:color w:val="231F20"/>
              </w:rPr>
            </w:pPr>
            <w:r>
              <w:rPr>
                <w:color w:val="231F20"/>
              </w:rPr>
              <w:t>​</w:t>
            </w:r>
          </w:p>
        </w:tc>
        <w:tc>
          <w:tcPr>
            <w:tcW w:w="676" w:type="dxa"/>
            <w:tcBorders/>
            <w:vAlign w:val="center"/>
          </w:tcPr>
          <w:p>
            <w:pPr>
              <w:pStyle w:val="TableContents"/>
              <w:bidi w:val="0"/>
              <w:spacing w:before="0" w:after="0"/>
              <w:ind w:left="0" w:right="0" w:hanging="0"/>
              <w:jc w:val="center"/>
              <w:rPr>
                <w:color w:val="231F20"/>
              </w:rPr>
            </w:pPr>
            <w:r>
              <w:rPr>
                <w:color w:val="231F20"/>
              </w:rPr>
              <w:t>​</w:t>
            </w:r>
          </w:p>
        </w:tc>
        <w:tc>
          <w:tcPr>
            <w:tcW w:w="326" w:type="dxa"/>
            <w:tcBorders/>
            <w:vAlign w:val="center"/>
          </w:tcPr>
          <w:p>
            <w:pPr>
              <w:pStyle w:val="TableContents"/>
              <w:bidi w:val="0"/>
              <w:spacing w:before="0" w:after="0"/>
              <w:ind w:left="0" w:right="0" w:hanging="0"/>
              <w:jc w:val="center"/>
              <w:rPr>
                <w:color w:val="231F20"/>
              </w:rPr>
            </w:pPr>
            <w:r>
              <w:rPr>
                <w:color w:val="231F20"/>
              </w:rPr>
              <w:t>​</w:t>
            </w:r>
          </w:p>
        </w:tc>
        <w:tc>
          <w:tcPr>
            <w:tcW w:w="511" w:type="dxa"/>
            <w:tcBorders/>
            <w:vAlign w:val="center"/>
          </w:tcPr>
          <w:p>
            <w:pPr>
              <w:pStyle w:val="TableContents"/>
              <w:bidi w:val="0"/>
              <w:spacing w:before="0" w:after="0"/>
              <w:ind w:left="0" w:right="0" w:hanging="0"/>
              <w:jc w:val="center"/>
              <w:rPr>
                <w:color w:val="231F20"/>
              </w:rPr>
            </w:pPr>
            <w:r>
              <w:rPr>
                <w:color w:val="231F20"/>
              </w:rPr>
              <w:t>​</w:t>
            </w:r>
          </w:p>
        </w:tc>
        <w:tc>
          <w:tcPr>
            <w:tcW w:w="391" w:type="dxa"/>
            <w:tcBorders/>
            <w:vAlign w:val="center"/>
          </w:tcPr>
          <w:p>
            <w:pPr>
              <w:pStyle w:val="TableContents"/>
              <w:bidi w:val="0"/>
              <w:spacing w:before="0" w:after="0"/>
              <w:ind w:left="0" w:right="0" w:hanging="0"/>
              <w:jc w:val="left"/>
              <w:rPr>
                <w:color w:val="231F20"/>
              </w:rPr>
            </w:pPr>
            <w:r>
              <w:rPr>
                <w:color w:val="231F20"/>
              </w:rPr>
              <w:t>​</w:t>
            </w:r>
          </w:p>
        </w:tc>
        <w:tc>
          <w:tcPr>
            <w:tcW w:w="1724" w:type="dxa"/>
            <w:gridSpan w:val="4"/>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Well</w:t>
            </w:r>
          </w:p>
        </w:tc>
        <w:tc>
          <w:tcPr>
            <w:tcW w:w="346" w:type="dxa"/>
            <w:tcBorders/>
            <w:vAlign w:val="center"/>
          </w:tcPr>
          <w:p>
            <w:pPr>
              <w:pStyle w:val="TableContents"/>
              <w:bidi w:val="0"/>
              <w:spacing w:before="0" w:after="0"/>
              <w:ind w:left="0" w:right="0" w:hanging="0"/>
              <w:jc w:val="center"/>
              <w:rPr/>
            </w:pPr>
            <w:r>
              <w:rPr/>
              <w:t>​</w:t>
            </w:r>
          </w:p>
        </w:tc>
      </w:tr>
      <w:tr>
        <w:trPr/>
        <w:tc>
          <w:tcPr>
            <w:tcW w:w="4441" w:type="dxa"/>
            <w:tcBorders/>
            <w:vAlign w:val="center"/>
          </w:tcPr>
          <w:p>
            <w:pPr>
              <w:pStyle w:val="TableContents"/>
              <w:bidi w:val="0"/>
              <w:spacing w:before="0" w:after="0"/>
              <w:ind w:left="0" w:right="0" w:hanging="0"/>
              <w:jc w:val="left"/>
              <w:rPr>
                <w:color w:val="231F20"/>
              </w:rPr>
            </w:pPr>
            <w:r>
              <w:rPr>
                <w:color w:val="231F20"/>
              </w:rPr>
              <w:t>​</w:t>
            </w:r>
          </w:p>
        </w:tc>
        <w:tc>
          <w:tcPr>
            <w:tcW w:w="326" w:type="dxa"/>
            <w:tcBorders/>
            <w:vAlign w:val="center"/>
          </w:tcPr>
          <w:p>
            <w:pPr>
              <w:pStyle w:val="TableContents"/>
              <w:bidi w:val="0"/>
              <w:spacing w:before="0" w:after="0"/>
              <w:ind w:left="0" w:right="0" w:hanging="0"/>
              <w:jc w:val="center"/>
              <w:rPr>
                <w:color w:val="231F20"/>
              </w:rPr>
            </w:pPr>
            <w:r>
              <w:rPr>
                <w:color w:val="231F20"/>
              </w:rPr>
              <w:t>​</w:t>
            </w:r>
          </w:p>
        </w:tc>
        <w:tc>
          <w:tcPr>
            <w:tcW w:w="211" w:type="dxa"/>
            <w:tcBorders/>
            <w:vAlign w:val="center"/>
          </w:tcPr>
          <w:p>
            <w:pPr>
              <w:pStyle w:val="TableContents"/>
              <w:bidi w:val="0"/>
              <w:spacing w:before="0" w:after="0"/>
              <w:ind w:left="0" w:right="0" w:hanging="0"/>
              <w:jc w:val="center"/>
              <w:rPr>
                <w:color w:val="231F20"/>
              </w:rPr>
            </w:pPr>
            <w:r>
              <w:rPr>
                <w:color w:val="231F20"/>
              </w:rPr>
              <w:t>​</w:t>
            </w:r>
          </w:p>
        </w:tc>
        <w:tc>
          <w:tcPr>
            <w:tcW w:w="676" w:type="dxa"/>
            <w:tcBorders/>
            <w:vAlign w:val="center"/>
          </w:tcPr>
          <w:p>
            <w:pPr>
              <w:pStyle w:val="TableContents"/>
              <w:bidi w:val="0"/>
              <w:spacing w:before="0" w:after="0"/>
              <w:ind w:left="0" w:right="0" w:hanging="0"/>
              <w:jc w:val="center"/>
              <w:rPr>
                <w:color w:val="231F20"/>
              </w:rPr>
            </w:pPr>
            <w:r>
              <w:rPr>
                <w:color w:val="231F20"/>
              </w:rPr>
              <w:t>​</w:t>
            </w:r>
          </w:p>
        </w:tc>
        <w:tc>
          <w:tcPr>
            <w:tcW w:w="326" w:type="dxa"/>
            <w:tcBorders/>
            <w:vAlign w:val="center"/>
          </w:tcPr>
          <w:p>
            <w:pPr>
              <w:pStyle w:val="TableContents"/>
              <w:bidi w:val="0"/>
              <w:spacing w:before="0" w:after="0"/>
              <w:ind w:left="0" w:right="0" w:hanging="0"/>
              <w:jc w:val="center"/>
              <w:rPr>
                <w:color w:val="231F20"/>
              </w:rPr>
            </w:pPr>
            <w:r>
              <w:rPr>
                <w:color w:val="231F20"/>
              </w:rPr>
              <w:t>​</w:t>
            </w:r>
          </w:p>
        </w:tc>
        <w:tc>
          <w:tcPr>
            <w:tcW w:w="511" w:type="dxa"/>
            <w:tcBorders/>
            <w:vAlign w:val="center"/>
          </w:tcPr>
          <w:p>
            <w:pPr>
              <w:pStyle w:val="TableContents"/>
              <w:bidi w:val="0"/>
              <w:spacing w:before="0" w:after="0"/>
              <w:ind w:left="0" w:right="0" w:hanging="0"/>
              <w:jc w:val="center"/>
              <w:rPr>
                <w:color w:val="231F20"/>
              </w:rPr>
            </w:pPr>
            <w:r>
              <w:rPr>
                <w:color w:val="231F20"/>
              </w:rPr>
              <w:t>​</w:t>
            </w:r>
          </w:p>
        </w:tc>
        <w:tc>
          <w:tcPr>
            <w:tcW w:w="391" w:type="dxa"/>
            <w:tcBorders/>
            <w:vAlign w:val="center"/>
          </w:tcPr>
          <w:p>
            <w:pPr>
              <w:pStyle w:val="TableContents"/>
              <w:bidi w:val="0"/>
              <w:spacing w:before="0" w:after="0"/>
              <w:ind w:left="0" w:right="0" w:hanging="0"/>
              <w:jc w:val="left"/>
              <w:rPr>
                <w:color w:val="231F20"/>
              </w:rPr>
            </w:pPr>
            <w:r>
              <w:rPr>
                <w:color w:val="231F20"/>
              </w:rPr>
              <w:t>​</w:t>
            </w:r>
          </w:p>
        </w:tc>
        <w:tc>
          <w:tcPr>
            <w:tcW w:w="1724" w:type="dxa"/>
            <w:gridSpan w:val="4"/>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Capitalized</w:t>
            </w:r>
          </w:p>
        </w:tc>
        <w:tc>
          <w:tcPr>
            <w:tcW w:w="346" w:type="dxa"/>
            <w:tcBorders/>
            <w:vAlign w:val="center"/>
          </w:tcPr>
          <w:p>
            <w:pPr>
              <w:pStyle w:val="TableContents"/>
              <w:bidi w:val="0"/>
              <w:spacing w:before="0" w:after="0"/>
              <w:ind w:left="0" w:right="0" w:hanging="0"/>
              <w:jc w:val="center"/>
              <w:rPr>
                <w:color w:val="231F20"/>
              </w:rPr>
            </w:pPr>
            <w:r>
              <w:rPr>
                <w:color w:val="231F20"/>
              </w:rPr>
              <w:t> </w:t>
            </w:r>
          </w:p>
        </w:tc>
      </w:tr>
      <w:tr>
        <w:trPr/>
        <w:tc>
          <w:tcPr>
            <w:tcW w:w="4441" w:type="dxa"/>
            <w:tcBorders/>
            <w:vAlign w:val="center"/>
          </w:tcPr>
          <w:p>
            <w:pPr>
              <w:pStyle w:val="TableContents"/>
              <w:bidi w:val="0"/>
              <w:spacing w:before="0" w:after="0"/>
              <w:ind w:left="0" w:right="0" w:hanging="0"/>
              <w:jc w:val="left"/>
              <w:rPr>
                <w:color w:val="231F20"/>
              </w:rPr>
            </w:pPr>
            <w:r>
              <w:rPr>
                <w:color w:val="231F20"/>
              </w:rPr>
              <w:t>​</w:t>
            </w:r>
          </w:p>
        </w:tc>
        <w:tc>
          <w:tcPr>
            <w:tcW w:w="326" w:type="dxa"/>
            <w:tcBorders/>
            <w:vAlign w:val="center"/>
          </w:tcPr>
          <w:p>
            <w:pPr>
              <w:pStyle w:val="TableContents"/>
              <w:bidi w:val="0"/>
              <w:spacing w:before="0" w:after="0"/>
              <w:ind w:left="0" w:right="0" w:hanging="0"/>
              <w:jc w:val="center"/>
              <w:rPr>
                <w:color w:val="231F20"/>
              </w:rPr>
            </w:pPr>
            <w:r>
              <w:rPr>
                <w:color w:val="231F20"/>
              </w:rPr>
              <w:t>​</w:t>
            </w:r>
          </w:p>
        </w:tc>
        <w:tc>
          <w:tcPr>
            <w:tcW w:w="211" w:type="dxa"/>
            <w:tcBorders/>
            <w:vAlign w:val="center"/>
          </w:tcPr>
          <w:p>
            <w:pPr>
              <w:pStyle w:val="TableContents"/>
              <w:bidi w:val="0"/>
              <w:spacing w:before="0" w:after="0"/>
              <w:ind w:left="0" w:right="0" w:hanging="0"/>
              <w:jc w:val="center"/>
              <w:rPr>
                <w:color w:val="231F20"/>
              </w:rPr>
            </w:pPr>
            <w:r>
              <w:rPr>
                <w:color w:val="231F20"/>
              </w:rPr>
              <w:t>​</w:t>
            </w:r>
          </w:p>
        </w:tc>
        <w:tc>
          <w:tcPr>
            <w:tcW w:w="676" w:type="dxa"/>
            <w:tcBorders/>
            <w:vAlign w:val="center"/>
          </w:tcPr>
          <w:p>
            <w:pPr>
              <w:pStyle w:val="TableContents"/>
              <w:bidi w:val="0"/>
              <w:spacing w:before="0" w:after="0"/>
              <w:ind w:left="0" w:right="0" w:hanging="0"/>
              <w:jc w:val="center"/>
              <w:rPr>
                <w:color w:val="231F20"/>
              </w:rPr>
            </w:pPr>
            <w:r>
              <w:rPr>
                <w:color w:val="231F20"/>
              </w:rPr>
              <w:t>​</w:t>
            </w:r>
          </w:p>
        </w:tc>
        <w:tc>
          <w:tcPr>
            <w:tcW w:w="326" w:type="dxa"/>
            <w:tcBorders/>
            <w:vAlign w:val="center"/>
          </w:tcPr>
          <w:p>
            <w:pPr>
              <w:pStyle w:val="TableContents"/>
              <w:bidi w:val="0"/>
              <w:spacing w:before="0" w:after="0"/>
              <w:ind w:left="0" w:right="0" w:hanging="0"/>
              <w:jc w:val="center"/>
              <w:rPr>
                <w:color w:val="231F20"/>
              </w:rPr>
            </w:pPr>
            <w:r>
              <w:rPr>
                <w:color w:val="231F20"/>
              </w:rPr>
              <w:t>​</w:t>
            </w:r>
          </w:p>
        </w:tc>
        <w:tc>
          <w:tcPr>
            <w:tcW w:w="511" w:type="dxa"/>
            <w:tcBorders/>
            <w:vAlign w:val="center"/>
          </w:tcPr>
          <w:p>
            <w:pPr>
              <w:pStyle w:val="TableContents"/>
              <w:bidi w:val="0"/>
              <w:spacing w:before="0" w:after="0"/>
              <w:ind w:left="0" w:right="0" w:hanging="0"/>
              <w:jc w:val="center"/>
              <w:rPr>
                <w:color w:val="231F20"/>
              </w:rPr>
            </w:pPr>
            <w:r>
              <w:rPr>
                <w:color w:val="231F20"/>
              </w:rPr>
              <w:t>​</w:t>
            </w:r>
          </w:p>
        </w:tc>
        <w:tc>
          <w:tcPr>
            <w:tcW w:w="391" w:type="dxa"/>
            <w:tcBorders/>
            <w:vAlign w:val="center"/>
          </w:tcPr>
          <w:p>
            <w:pPr>
              <w:pStyle w:val="TableContents"/>
              <w:bidi w:val="0"/>
              <w:spacing w:before="0" w:after="0"/>
              <w:ind w:left="0" w:right="0" w:hanging="0"/>
              <w:jc w:val="left"/>
              <w:rPr>
                <w:color w:val="231F20"/>
              </w:rPr>
            </w:pPr>
            <w:r>
              <w:rPr>
                <w:color w:val="231F20"/>
              </w:rPr>
              <w:t>​</w:t>
            </w:r>
          </w:p>
        </w:tc>
        <w:tc>
          <w:tcPr>
            <w:tcW w:w="1724" w:type="dxa"/>
            <w:gridSpan w:val="4"/>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Under Prompt</w:t>
            </w:r>
          </w:p>
        </w:tc>
        <w:tc>
          <w:tcPr>
            <w:tcW w:w="346" w:type="dxa"/>
            <w:tcBorders/>
            <w:vAlign w:val="center"/>
          </w:tcPr>
          <w:p>
            <w:pPr>
              <w:pStyle w:val="TableContents"/>
              <w:bidi w:val="0"/>
              <w:spacing w:before="0" w:after="0"/>
              <w:ind w:left="0" w:right="0" w:hanging="0"/>
              <w:jc w:val="center"/>
              <w:rPr>
                <w:color w:val="231F20"/>
              </w:rPr>
            </w:pPr>
            <w:r>
              <w:rPr>
                <w:color w:val="231F20"/>
              </w:rPr>
              <w:t> </w:t>
            </w:r>
          </w:p>
        </w:tc>
      </w:tr>
      <w:tr>
        <w:trPr/>
        <w:tc>
          <w:tcPr>
            <w:tcW w:w="4441" w:type="dxa"/>
            <w:tcBorders/>
            <w:vAlign w:val="center"/>
          </w:tcPr>
          <w:p>
            <w:pPr>
              <w:pStyle w:val="TableContents"/>
              <w:bidi w:val="0"/>
              <w:spacing w:before="0" w:after="0"/>
              <w:ind w:left="0" w:right="0" w:hanging="0"/>
              <w:jc w:val="left"/>
              <w:rPr>
                <w:color w:val="231F20"/>
              </w:rPr>
            </w:pPr>
            <w:r>
              <w:rPr>
                <w:color w:val="231F20"/>
              </w:rPr>
              <w:t>​</w:t>
            </w:r>
          </w:p>
        </w:tc>
        <w:tc>
          <w:tcPr>
            <w:tcW w:w="326" w:type="dxa"/>
            <w:tcBorders/>
            <w:vAlign w:val="center"/>
          </w:tcPr>
          <w:p>
            <w:pPr>
              <w:pStyle w:val="TableContents"/>
              <w:bidi w:val="0"/>
              <w:spacing w:before="0" w:after="0"/>
              <w:ind w:left="0" w:right="0" w:hanging="0"/>
              <w:jc w:val="center"/>
              <w:rPr>
                <w:color w:val="231F20"/>
              </w:rPr>
            </w:pPr>
            <w:r>
              <w:rPr>
                <w:color w:val="231F20"/>
              </w:rPr>
              <w:t>​</w:t>
            </w:r>
          </w:p>
        </w:tc>
        <w:tc>
          <w:tcPr>
            <w:tcW w:w="211" w:type="dxa"/>
            <w:tcBorders/>
            <w:vAlign w:val="center"/>
          </w:tcPr>
          <w:p>
            <w:pPr>
              <w:pStyle w:val="TableContents"/>
              <w:bidi w:val="0"/>
              <w:spacing w:before="0" w:after="0"/>
              <w:ind w:left="0" w:right="0" w:hanging="0"/>
              <w:jc w:val="center"/>
              <w:rPr>
                <w:color w:val="231F20"/>
              </w:rPr>
            </w:pPr>
            <w:r>
              <w:rPr>
                <w:color w:val="231F20"/>
              </w:rPr>
              <w:t>​</w:t>
            </w:r>
          </w:p>
        </w:tc>
        <w:tc>
          <w:tcPr>
            <w:tcW w:w="676" w:type="dxa"/>
            <w:tcBorders/>
            <w:vAlign w:val="center"/>
          </w:tcPr>
          <w:p>
            <w:pPr>
              <w:pStyle w:val="TableContents"/>
              <w:bidi w:val="0"/>
              <w:spacing w:before="0" w:after="0"/>
              <w:ind w:left="0" w:right="0" w:hanging="0"/>
              <w:jc w:val="center"/>
              <w:rPr>
                <w:color w:val="231F20"/>
              </w:rPr>
            </w:pPr>
            <w:r>
              <w:rPr>
                <w:color w:val="231F20"/>
              </w:rPr>
              <w:t>​</w:t>
            </w:r>
          </w:p>
        </w:tc>
        <w:tc>
          <w:tcPr>
            <w:tcW w:w="326" w:type="dxa"/>
            <w:tcBorders/>
            <w:vAlign w:val="center"/>
          </w:tcPr>
          <w:p>
            <w:pPr>
              <w:pStyle w:val="TableContents"/>
              <w:bidi w:val="0"/>
              <w:spacing w:before="0" w:after="0"/>
              <w:ind w:left="0" w:right="0" w:hanging="0"/>
              <w:jc w:val="center"/>
              <w:rPr>
                <w:color w:val="231F20"/>
              </w:rPr>
            </w:pPr>
            <w:r>
              <w:rPr>
                <w:color w:val="231F20"/>
              </w:rPr>
              <w:t>​</w:t>
            </w:r>
          </w:p>
        </w:tc>
        <w:tc>
          <w:tcPr>
            <w:tcW w:w="511" w:type="dxa"/>
            <w:tcBorders/>
            <w:vAlign w:val="center"/>
          </w:tcPr>
          <w:p>
            <w:pPr>
              <w:pStyle w:val="TableContents"/>
              <w:bidi w:val="0"/>
              <w:spacing w:before="0" w:after="0"/>
              <w:ind w:left="0" w:right="0" w:hanging="0"/>
              <w:jc w:val="center"/>
              <w:rPr>
                <w:color w:val="231F20"/>
              </w:rPr>
            </w:pPr>
            <w:r>
              <w:rPr>
                <w:color w:val="231F20"/>
              </w:rPr>
              <w:t>​</w:t>
            </w:r>
          </w:p>
        </w:tc>
        <w:tc>
          <w:tcPr>
            <w:tcW w:w="391" w:type="dxa"/>
            <w:tcBorders/>
            <w:vAlign w:val="center"/>
          </w:tcPr>
          <w:p>
            <w:pPr>
              <w:pStyle w:val="TableContents"/>
              <w:bidi w:val="0"/>
              <w:spacing w:before="0" w:after="0"/>
              <w:ind w:left="0" w:right="0" w:hanging="0"/>
              <w:jc w:val="left"/>
              <w:rPr>
                <w:color w:val="231F20"/>
              </w:rPr>
            </w:pPr>
            <w:r>
              <w:rPr>
                <w:color w:val="231F20"/>
              </w:rPr>
              <w:t>​</w:t>
            </w:r>
          </w:p>
        </w:tc>
        <w:tc>
          <w:tcPr>
            <w:tcW w:w="1724" w:type="dxa"/>
            <w:gridSpan w:val="4"/>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Corrective</w:t>
            </w:r>
          </w:p>
        </w:tc>
        <w:tc>
          <w:tcPr>
            <w:tcW w:w="346" w:type="dxa"/>
            <w:tcBorders/>
            <w:vAlign w:val="center"/>
          </w:tcPr>
          <w:p>
            <w:pPr>
              <w:pStyle w:val="TableContents"/>
              <w:bidi w:val="0"/>
              <w:spacing w:before="0" w:after="0"/>
              <w:ind w:left="0" w:right="0" w:hanging="0"/>
              <w:jc w:val="center"/>
              <w:rPr>
                <w:color w:val="231F20"/>
              </w:rPr>
            </w:pPr>
            <w:r>
              <w:rPr>
                <w:color w:val="231F20"/>
              </w:rPr>
              <w:t> </w:t>
            </w:r>
          </w:p>
        </w:tc>
      </w:tr>
      <w:tr>
        <w:trPr/>
        <w:tc>
          <w:tcPr>
            <w:tcW w:w="4441" w:type="dxa"/>
            <w:tcBorders/>
            <w:vAlign w:val="center"/>
          </w:tcPr>
          <w:p>
            <w:pPr>
              <w:pStyle w:val="TableContents"/>
              <w:bidi w:val="0"/>
              <w:spacing w:before="0" w:after="0"/>
              <w:ind w:left="0" w:right="0" w:hanging="0"/>
              <w:jc w:val="left"/>
              <w:rPr>
                <w:color w:val="231F20"/>
              </w:rPr>
            </w:pPr>
            <w:r>
              <w:rPr>
                <w:color w:val="231F20"/>
              </w:rPr>
              <w:t>​</w:t>
            </w:r>
          </w:p>
        </w:tc>
        <w:tc>
          <w:tcPr>
            <w:tcW w:w="326" w:type="dxa"/>
            <w:tcBorders/>
            <w:vAlign w:val="center"/>
          </w:tcPr>
          <w:p>
            <w:pPr>
              <w:pStyle w:val="TableContents"/>
              <w:bidi w:val="0"/>
              <w:spacing w:before="0" w:after="0"/>
              <w:ind w:left="0" w:right="0" w:hanging="0"/>
              <w:jc w:val="center"/>
              <w:rPr>
                <w:color w:val="231F20"/>
              </w:rPr>
            </w:pPr>
            <w:r>
              <w:rPr>
                <w:color w:val="231F20"/>
              </w:rPr>
              <w:t>​</w:t>
            </w:r>
          </w:p>
        </w:tc>
        <w:tc>
          <w:tcPr>
            <w:tcW w:w="172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Actual</w:t>
            </w:r>
          </w:p>
        </w:tc>
        <w:tc>
          <w:tcPr>
            <w:tcW w:w="391" w:type="dxa"/>
            <w:tcBorders/>
            <w:vAlign w:val="center"/>
          </w:tcPr>
          <w:p>
            <w:pPr>
              <w:pStyle w:val="TableContents"/>
              <w:bidi w:val="0"/>
              <w:spacing w:before="0" w:after="0"/>
              <w:ind w:left="0" w:right="0" w:hanging="0"/>
              <w:jc w:val="left"/>
              <w:rPr>
                <w:color w:val="231F20"/>
              </w:rPr>
            </w:pPr>
            <w:r>
              <w:rPr>
                <w:color w:val="231F20"/>
              </w:rPr>
              <w:t>​</w:t>
            </w:r>
          </w:p>
        </w:tc>
        <w:tc>
          <w:tcPr>
            <w:tcW w:w="172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Action Provisions</w:t>
            </w:r>
          </w:p>
        </w:tc>
        <w:tc>
          <w:tcPr>
            <w:tcW w:w="346" w:type="dxa"/>
            <w:tcBorders/>
            <w:vAlign w:val="center"/>
          </w:tcPr>
          <w:p>
            <w:pPr>
              <w:pStyle w:val="TableContents"/>
              <w:bidi w:val="0"/>
              <w:spacing w:before="0" w:after="0"/>
              <w:ind w:left="0" w:right="0" w:hanging="0"/>
              <w:jc w:val="center"/>
              <w:rPr>
                <w:color w:val="231F20"/>
              </w:rPr>
            </w:pPr>
            <w:r>
              <w:rPr>
                <w:color w:val="231F20"/>
              </w:rPr>
              <w:t> </w:t>
            </w:r>
          </w:p>
        </w:tc>
      </w:tr>
      <w:tr>
        <w:trPr/>
        <w:tc>
          <w:tcPr>
            <w:tcW w:w="4441" w:type="dxa"/>
            <w:tcBorders/>
            <w:vAlign w:val="center"/>
          </w:tcPr>
          <w:p>
            <w:pPr>
              <w:pStyle w:val="TableContents"/>
              <w:bidi w:val="0"/>
              <w:spacing w:before="0" w:after="0"/>
              <w:ind w:left="0" w:right="0" w:hanging="0"/>
              <w:jc w:val="left"/>
              <w:rPr>
                <w:color w:val="231F20"/>
              </w:rPr>
            </w:pPr>
            <w:r>
              <w:rPr>
                <w:color w:val="231F20"/>
              </w:rPr>
              <w:t>​</w:t>
            </w:r>
          </w:p>
        </w:tc>
        <w:tc>
          <w:tcPr>
            <w:tcW w:w="326" w:type="dxa"/>
            <w:tcBorders/>
            <w:vAlign w:val="center"/>
          </w:tcPr>
          <w:p>
            <w:pPr>
              <w:pStyle w:val="TableContents"/>
              <w:bidi w:val="0"/>
              <w:spacing w:before="0" w:after="0"/>
              <w:ind w:left="0" w:right="0" w:hanging="0"/>
              <w:jc w:val="center"/>
              <w:rPr>
                <w:color w:val="231F20"/>
              </w:rPr>
            </w:pPr>
            <w:r>
              <w:rPr>
                <w:color w:val="231F20"/>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Amount</w:t>
            </w:r>
          </w:p>
        </w:tc>
        <w:tc>
          <w:tcPr>
            <w:tcW w:w="326" w:type="dxa"/>
            <w:tcBorders/>
            <w:vAlign w:val="center"/>
          </w:tcPr>
          <w:p>
            <w:pPr>
              <w:pStyle w:val="TableContents"/>
              <w:bidi w:val="0"/>
              <w:spacing w:before="0" w:after="0"/>
              <w:ind w:left="0" w:right="0" w:hanging="0"/>
              <w:jc w:val="center"/>
              <w:rPr>
                <w:color w:val="231F20"/>
              </w:rPr>
            </w:pPr>
            <w:r>
              <w:rPr>
                <w:color w:val="231F20"/>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Ratio</w:t>
            </w:r>
          </w:p>
        </w:tc>
        <w:tc>
          <w:tcPr>
            <w:tcW w:w="391" w:type="dxa"/>
            <w:tcBorders/>
            <w:vAlign w:val="center"/>
          </w:tcPr>
          <w:p>
            <w:pPr>
              <w:pStyle w:val="TableContents"/>
              <w:bidi w:val="0"/>
              <w:spacing w:before="0" w:after="0"/>
              <w:ind w:left="0" w:right="0" w:hanging="0"/>
              <w:jc w:val="left"/>
              <w:rPr>
                <w:color w:val="231F20"/>
              </w:rPr>
            </w:pPr>
            <w:r>
              <w:rPr>
                <w:color w:val="231F20"/>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Amount</w:t>
            </w:r>
          </w:p>
        </w:tc>
        <w:tc>
          <w:tcPr>
            <w:tcW w:w="326" w:type="dxa"/>
            <w:tcBorders/>
            <w:vAlign w:val="center"/>
          </w:tcPr>
          <w:p>
            <w:pPr>
              <w:pStyle w:val="TableContents"/>
              <w:bidi w:val="0"/>
              <w:spacing w:before="0" w:after="0"/>
              <w:ind w:left="0" w:right="0" w:hanging="0"/>
              <w:jc w:val="center"/>
              <w:rPr>
                <w:color w:val="231F20"/>
              </w:rPr>
            </w:pPr>
            <w:r>
              <w:rPr>
                <w:color w:val="231F20"/>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Ratio</w:t>
            </w:r>
          </w:p>
        </w:tc>
        <w:tc>
          <w:tcPr>
            <w:tcW w:w="346" w:type="dxa"/>
            <w:tcBorders/>
            <w:vAlign w:val="center"/>
          </w:tcPr>
          <w:p>
            <w:pPr>
              <w:pStyle w:val="TableContents"/>
              <w:bidi w:val="0"/>
              <w:spacing w:before="0" w:after="0"/>
              <w:ind w:left="0" w:right="0" w:hanging="0"/>
              <w:jc w:val="center"/>
              <w:rPr>
                <w:color w:val="231F20"/>
              </w:rPr>
            </w:pPr>
            <w:r>
              <w:rPr>
                <w:color w:val="231F20"/>
              </w:rPr>
              <w:t> </w:t>
            </w:r>
          </w:p>
        </w:tc>
      </w:tr>
      <w:tr>
        <w:trPr/>
        <w:tc>
          <w:tcPr>
            <w:tcW w:w="444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As of September 30, 2025</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Tier 1 capital (to average assets for the leverage ratio)</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89,850</w:t>
            </w:r>
          </w:p>
        </w:tc>
        <w:tc>
          <w:tcPr>
            <w:tcW w:w="326" w:type="dxa"/>
            <w:tcBorders/>
            <w:vAlign w:val="center"/>
          </w:tcPr>
          <w:p>
            <w:pPr>
              <w:pStyle w:val="TableContents"/>
              <w:bidi w:val="0"/>
              <w:spacing w:before="0" w:after="0"/>
              <w:ind w:left="0" w:right="0" w:hanging="0"/>
              <w:jc w:val="left"/>
              <w:rPr>
                <w:color w:val="231F20"/>
              </w:rPr>
            </w:pPr>
            <w:r>
              <w:rPr>
                <w:color w:val="231F20"/>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20.2</w:t>
            </w:r>
          </w:p>
        </w:tc>
        <w:tc>
          <w:tcPr>
            <w:tcW w:w="391" w:type="dxa"/>
            <w:tcBorders/>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39,976</w:t>
            </w:r>
          </w:p>
        </w:tc>
        <w:tc>
          <w:tcPr>
            <w:tcW w:w="326" w:type="dxa"/>
            <w:tcBorders/>
            <w:vAlign w:val="center"/>
          </w:tcPr>
          <w:p>
            <w:pPr>
              <w:pStyle w:val="TableContents"/>
              <w:bidi w:val="0"/>
              <w:spacing w:before="0" w:after="0"/>
              <w:ind w:left="0" w:right="0" w:hanging="0"/>
              <w:jc w:val="left"/>
              <w:rPr>
                <w:color w:val="231F20"/>
              </w:rPr>
            </w:pPr>
            <w:r>
              <w:rPr>
                <w:color w:val="231F20"/>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9.0</w:t>
            </w:r>
          </w:p>
        </w:tc>
        <w:tc>
          <w:tcPr>
            <w:tcW w:w="346" w:type="dxa"/>
            <w:tcBorders/>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r>
      <w:tr>
        <w:trPr/>
        <w:tc>
          <w:tcPr>
            <w:tcW w:w="444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As of December 31, 2024:</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Tier 1 capital (to average assets for the leverage ratio)</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89,067</w:t>
            </w:r>
          </w:p>
        </w:tc>
        <w:tc>
          <w:tcPr>
            <w:tcW w:w="326" w:type="dxa"/>
            <w:tcBorders/>
            <w:vAlign w:val="center"/>
          </w:tcPr>
          <w:p>
            <w:pPr>
              <w:pStyle w:val="TableContents"/>
              <w:bidi w:val="0"/>
              <w:spacing w:before="0" w:after="0"/>
              <w:ind w:left="0" w:right="0" w:hanging="0"/>
              <w:jc w:val="left"/>
              <w:rPr>
                <w:color w:val="231F20"/>
              </w:rPr>
            </w:pPr>
            <w:r>
              <w:rPr>
                <w:color w:val="231F20"/>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19.9</w:t>
            </w:r>
          </w:p>
        </w:tc>
        <w:tc>
          <w:tcPr>
            <w:tcW w:w="39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40,363</w:t>
            </w:r>
          </w:p>
        </w:tc>
        <w:tc>
          <w:tcPr>
            <w:tcW w:w="326" w:type="dxa"/>
            <w:tcBorders/>
            <w:vAlign w:val="center"/>
          </w:tcPr>
          <w:p>
            <w:pPr>
              <w:pStyle w:val="TableContents"/>
              <w:bidi w:val="0"/>
              <w:spacing w:before="0" w:after="0"/>
              <w:ind w:left="0" w:right="0" w:hanging="0"/>
              <w:jc w:val="left"/>
              <w:rPr>
                <w:color w:val="231F20"/>
              </w:rPr>
            </w:pPr>
            <w:r>
              <w:rPr>
                <w:color w:val="231F20"/>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9.0</w:t>
            </w:r>
          </w:p>
        </w:tc>
        <w:tc>
          <w:tcPr>
            <w:tcW w:w="34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HOYNE SAVINGS, MHC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11.</w:t>
      </w:r>
      <w:r>
        <w:rPr>
          <w:rFonts w:ascii="Times New Roman;Times;serif" w:hAnsi="Times New Roman;Times;serif"/>
          <w:b/>
          <w:sz w:val="20"/>
        </w:rPr>
        <w:t>Plan of Conversion and Change in Corporate Form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May 16, 2025, the Board of Directors of MHC adopted a plan of conversion (Plan). The Plan sets forth that the MHC proposes to convert into a stock holding company structure with the establishment of a new company, Hoyne Bancorp, Inc. (Bancorp) as parent of the Bank. Pursuant to the Plan, the MHC will determine the offering value and number of shares of common stock based upon an independent appraiser’s valuation. The stock will be priced at $10 per share. In addition, the Bank’s Board of Directors will adopt an employee stock ownership plan which will subscribe for up to approximately 8% of the common stock sold in the offering.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Bancorp is organized as a corporation under the laws of the State of Delaware and will own all the outstanding common stock of the Bank upon completion of the conversion. The costs of issuing the common stock will be deferred and deducted from the sales proceeds of the offering. The Bank has incurred deferred conversion costs totaling approximately $1,666,000 as of November 13,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At the completion of the conversion to stock form, all of the outstanding common stock of Hoyne Savings Bank will be owned by Bancorp, and all of the outstanding common stock of Bancorp will be owned by public shareholders. The Securities and Exchange Commission declared Hoyne Bancorp, Inc’s Registration Statement effective on September 30, 2025. The Bancorp and Bank will establish a liquidation account in the amount of the retained earnings contained in the final prospectus. The liquidation account will be maintained for the benefit of eligible deposit account holders who maintain deposit accounts at the Bank after the conversion.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conversion will be accounted for as a change in corporate form with the historic basis of the Bank’s assets, liabilities and equity unchanged as a result. Bancorp is an emerging growth company, and for as long as it continues to be an emerging growth company, it may choose to take advantage of exemptions from various reporting requirements applicable to other public companies, but not to emerging growth companies. Bancorp intends to use the extended transition period to delay adoption of new or revised accounting pronouncements applicable to public companies until such pronouncements are made applicable to private companies. Accordingly, its financial statements may not be comparable to the financial statements of public companies that comply with such new or revised accounting standards.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731" w:name="Item2ManagementsDiscussionandAnalysisofF"/>
      <w:bookmarkStart w:id="1732" w:name="_e4d07d58_0dbe_463b_ac13_11ca0c55f22f"/>
      <w:bookmarkEnd w:id="1731"/>
      <w:bookmarkEnd w:id="1732"/>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This discussion and analysis is intended to assist in the understanding of our financial performance through a discussion of our financial condition as of September 30, 2025 (unaudited) and as compared to our financial condition as of December 31, 2024 (audited) and our results of operations for the nine and three month periods ended September 30, 2025 and 2024 (unaudited). This section should be read in conjunction with the unaudited consolidated financial statements and notes thereto appearing in Part 1 Item 1 of this Quarterly Report on Form 10Q and the Prospectus.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Forward Looking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Certain statements in this Quarterly Report on Form 10-Q that are not historical facts may be considered forward-looking statements within the meaning of Section 27A of the Securities Act of 1933, as amended, and Section 21E of the Securities Exchange Act of 1934, as amended (the “Exchange Act”) and are intended to be covered by the safe harbor provisions of the Private Securities Litigation Reform Act of 1995. These statements, which are based on current assumptions and describe our future plans, strategies and expectations, can generally be identified by the use of the words “may”, “will”, “should”, “could”, “would”, “plan”, “potential”, “estimate”, “project”, “believe”, “intend”, “anticipate”, “expect”, “target”, and similar expressions.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Forward-looking statements are based on current beliefs and expectations of management and are inherently subject to significant business, economic and competitive uncertainties and contingencies, many of which are beyond our control. In addition, these forward-looking statements are subject to assumptions with respect to future business strategies and decisions that are subject to change. The following factors, among others, could cause actual results to differ materially from the anticipated results or other expectations expressed in the forward-looking statements: general economic conditions, either nationally or in our market areas, that are worse than expected; changes in the level and direction of loan delinquencies and write-offs and changes in estimates of the adequacy of the allowance for loan losses; our ability to access cost-effective funding; fluctuations in real estate values and both residential and commercial real estate market conditions; demand for loans and deposits in our market area; our ability to implement and change our business strategies; competition among depository and other financial institutions; inflation and changes in the interest rate environment that reduce our margins and yields, the fair value of financial instruments or our level of loan originations, or increase in the level of defaults, losses and prepayments on loans we have made; adverse changes in the securities or secondary mortgage markets; changes in laws or government regulations or policies affecting financial institutions, including changes in regulatory fees, capital requirements and insurance premiums; changes in monetary or fiscal policies of the U.S. Government, including policies of the U.S. Treasury and the Federal Reserve Board; changes in the quality or composition of our loan or investment portfolios; technological changes that may be more difficult or expensive than expected; a failure or breach of our operational or security systems or infrastructure, including cyber-attacks; the inability of third party providers to perform as expected; our ability to manage market risk, credit risk and operational risk in the current economic environment; our ability to enter new markets successfully and capitalize on growth opportunities; our ability to successfully integrate into our operations any assets, liabilities, customers, systems and management personnel we may acquire and our ability to realize related revenue synergies and cost savings within expected time frames and any goodwill charges related there to; changes in consumer spending, borrowing and savings habits; changes in accounting policies and practices, as may be adopted by the bank regulatory agencies, the Financial Accounting Standards Board, the Securities and Exchange Commission (the “Commission”) or the public accounting oversight board; our ability to retain key employees; and our compensation expense associated with equity allocation or awarded our employees.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Because of these and other uncertainties, our actual future results may be materially different from the results indicated by these forward-looking statements. Except as required by applicable law or regulation, we do not undertake, and we specifically disclaim any obligation, to update any forward-looking statements to reflect events or circumstances after the date of such statements or to reflect the occurrence of anticipated or unanticipated events.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Hoyne Bancorp, Inc. (the “Company”, and together with Hoye Savings, MHC, Hoyne Financial Corporation and Hoyne Savings Bank, “we” or “us”) is a Delaware corporation which was incorporated in June 2025 and has not engaged in any business to date. Upon completion of the Conversion (as described below), we will own all of the issued and outstanding stock of Hoyne Savings Bank (the “Bank”). After the conversion is complete, we will be authorized to pursue other business activities permitted by applicable laws and regulations.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Currently, Hoyne Savings Bank is a wholly-owned subsidiary of Hoyne Financial Corporation, which is in turn a wholly-owned subsidiary of Hoyne Savings, MHC. Hoyne Savings, MHC’s primary asset is its investment in Hoyne Financial Corporation, and Hoyne Financial Corporation’s primary asset is its investment in Hoyne Savings Bank. Hoyne Savings, MHC, and Hoyne Financial Corporation are not otherwise engaged in any material operating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Hoyne Savings Bank is an Illinois-chartered savings bank which was originally organized in 1887 as Hoyne Building and Loan Homestead Association and is headquartered in Chicago, Illinois. We originate commercial real estate (including commercial construction), commercial and industrial, and one to four residential mortgage loans and, to a lesser extent, home equity loans. We currently operate six full- service banking offices and one loan production office in Cook County, Illinois.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primary sources of funds consist of attracting deposits from the general public and using those funds and other sources to originate loans to our customers and invest in securities. As of September 30, 2025, we had total assets of $454.8 million, including $249.4 million in net loans and $108.8 million of investment securities available-for-sale, and investment securities held-to-maturity of $29.8 million, total deposits of $356.8 million and total equity of $90.1 million. For the nine months ended September 30, 2025, we had a net income of $31,000 compared to a net loss of $1.5 million for the nine months ended September 30,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results of operations depend, to a large extent, on net interest income, which is the difference between the income earned on our loan and investment portfolios and interest expense on deposits and borrowings. Our net interest income is largely determined by our net interest spread, which is the difference between the average yield earned on interest-earning assets and the average rate paid on interest-bearing liabilities, and the relative amounts of interest-earning assets and interest-bearing liabilities. Results of operations are also affected by our provisions for loan losses, fee income and other noninterest income and noninterest expense. Noninterest expense principally consists of compensation, office occupancy and equipment expense, data processing, advertising and business promotion and other expenses. After the conversion, we expect that our noninterest expenses will increase as we grow and expand our operations. In addition, our compensation expense will increase due to the new stock benefit plans we intend to implement. See “Pro Forma Data.” Our results of operations and financial condition are also significantly affected by general economic and competitive conditions, particularly changes in interest rates, changes in accounting guidance, government policies and actions of regulatory authorities.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Conversion of Hoyne Savings, MHC</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Pursuant to the terms of Hoyne Savings, MHC’s plan of conversion, Hoyne Savings, MHC will convert from the mutual holding company to the stock holding company corporate structure (the “Conversion”). Upon completion of the Conversion, Hoyne Savings, MHC, and Hoyne Financial Corporation will cease to exist, and Hoyne Savings Bank will be a wholly0owned subsidiary of the Company. At present, all depositors and certain borrowers as of a specified eligibility date have voting rights in Hoyne Savings, MHC as to all matters requiring member approval. Upon completion of the Conversion, depositors and those certain borrowers as of a specified eligibility date of Hoyne Savings Bank will cease to have any voting right in Hoyne Savings, MHC, and all voting rights in Hoyne Savings, MHC will be vested in the Company as the sole stockholder of Hoyne Savings Bank. The Stockholders of the Company will possess exclusive voting rights and rights to the Company’s stock.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Business Strategy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goal is to position Hoyne Bancorp, Inc. to prosper in an evolving financial services landscape and enhance our position as one of the leading community banking institutions in our local market. We intend to continue to provide a broad array of banking services while growing our presence in our market and expanding our franchise. In recent years, we have focused on, and invested in, our technology and infrastructure to improve our delivery channels and create competitive products and services, a strong workforce, and an enhanced awareness of our commercial banking brand in our market area. As a result, we believe we are well positioned to capitalize on the opportunities available in our market by focusing on the business strategies outlined in the Prospectus.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discussion and analysis of the financial condition and results of operations are based on our consolidated financial statements, which are prepared to conform with generally accepted in the United States of America (“U.S. GAAP”) and to general practices within the banking industry. The preparation of the financial statements require certain estimates, judgments, and assumptions, which are believed to be reasonable based upon the information available. These estimates and assumptions affect the reported amounts of assets and liabilities at the date of the financial statements and the reported amounts of income and expenses during the periods presented. The Jumpstart Our Business Startups Act of 2012 contains provisions that, among other things, reduce certain reporting requirements for qualifying public companies. As an “emerging growth company” we may delay adoption of new or revised accounting pronouncements applicable to public companies until such pronouncements are made applicable to private companies. We intend to take advantage of the benefits of this extended transition period. Accordingly, our financial statements may not be comparable to companies that comply with such new or revised accounting standards.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accounting policies comprise those that management believes are the most critical to aid in fully understanding and evaluating our reported financial results. These policies require numerous estimates or economic assumptions that may prove inaccurate or may be subject to variations which may significantly affect our reported results and financial condition for the period or in future periods.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 xml:space="preserve">Allowance for Credit Losses. </w:t>
      </w:r>
      <w:r>
        <w:rPr>
          <w:rFonts w:ascii="Times New Roman;Times;serif" w:hAnsi="Times New Roman;Times;serif"/>
          <w:sz w:val="20"/>
        </w:rPr>
        <w:t>The allowance for credit losses is the estimated amount considered necessary to cover expected, but unconfirmed credit losses in the loan portfolio at the balance sheet date. The allowance is established through the provision for credit losses which is charged against income. In determining the allowance for credit losses, we make significant estimates and have identified this policy as one of our most critical accounting policies.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perform a quarterly evaluation of the allowance for credit losses. Our determination of the adequacy of the allowance for credit losses is based on the assessment of the expected credit losses on loans over the expected life of the loans. Consideration is given to a variety of factors in establishing this estimate including, but not limited to, current economic conditions, delinquency statistics, geographic and industry concentrations, the adequacy of the underlying collateral, the financial strength of the borrower, results of internal loan reviews and other relevant factors. This evaluation is inherently subjective as it requires material estimates that may be susceptible to significant change.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accordance with the provisions of the accounting standards under CECL, we estimate the allowance for credit losses balance using relevant available information from both internal and external sources, relating to past events, current conditions and reasonable and supportable forecasts. Historical credit loss experience of a defined peer group, by affiliate, paired with economic forecasts, provide the basis for the quantitatively modeled estimates of expected credit losses. We adjust our quantitative model, as necessary, to reflect conditions not already considered by the quantitative model. These adjustments are commonly known as the qualitative factors.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allowance for credit losses is measured on a collective (pool) basis when similar risk characteristics exist. We use the average historical loss method to measure the quantitative portion of the allowance for credit losses over the forecast and reversion periods.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Loans that do not share risk characteristics are evaluated on an individual basis. Loans evaluated individually are not also included in the collective evaluation. When we determine that foreclosure is probable, expected credit losses are based on the fair value of the collateral at the reporting date, adjusted for selling costs as appropriate.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Prior to January 1, 2023, we calculated the allowance for loan losses under the probable incurred methodology. Using this methodology, the analysis had two components, specific and general allowances. The specific percentage allowance was for unconfirmed losses related to loans that were determined to be impaired. Impairment was measured by determining the present value of expected future cash flows or, for collateral-dependent loans, the fair value of the collateral adjusted for market conditions and selling expenses. If the fair value of the loan was less than the loan’s carrying value, a charge was recorded for the difference.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Comparison of Financial Condition as of September 30, 2025 and December 31,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Total Assets</w:t>
      </w:r>
      <w:r>
        <w:rPr>
          <w:rFonts w:ascii="Times New Roman;Times;serif" w:hAnsi="Times New Roman;Times;serif"/>
          <w:sz w:val="20"/>
        </w:rPr>
        <w:t>. Total assets increased $5.3 million or 1.2% to $454.8 million as of September 30, 2025 compared to $449.5 million as of December 31, 2024. The increase resulted primarily from increases in cash and cash equivalents of $11.6 million, real estate owned of $729,000, loans receivable, net of $8.5 million and other assets of $1.3 million. These increases were offset by decreases in certificates of deposit of $480,000, investment securities available- for-sale of $7.7 million, investment securities held-to-maturity of $4.2 million, premises and equipment, net of $419,000 and BOLI of $2.2 million.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Cash and Cash Equivalents</w:t>
      </w:r>
      <w:r>
        <w:rPr>
          <w:rFonts w:ascii="Times New Roman;Times;serif" w:hAnsi="Times New Roman;Times;serif"/>
          <w:sz w:val="20"/>
        </w:rPr>
        <w:t>. Cash and cash equivalents increased $11.6 million, or 75.7%, to $26.9 million as of September 30, 2025 compared to $15.3 million as of December 31, 2024. The increase reflects management’s intention to increase liquidity to expand the commercial loan portfolio.</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Certificates of Deposit</w:t>
      </w:r>
      <w:r>
        <w:rPr>
          <w:rFonts w:ascii="Times New Roman;Times;serif" w:hAnsi="Times New Roman;Times;serif"/>
          <w:sz w:val="20"/>
        </w:rPr>
        <w:t>. Certificates of deposit decreased $480,000, or 35.6%, to $870,000 as of September 30, 2025 compared to $1.4 million as of December 31, 2024. The decrease in certificates of deposit was the result of funding loan originations.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Investment Securities Available-for-Sale</w:t>
      </w:r>
      <w:r>
        <w:rPr>
          <w:rFonts w:ascii="Times New Roman;Times;serif" w:hAnsi="Times New Roman;Times;serif"/>
          <w:sz w:val="20"/>
        </w:rPr>
        <w:t>. Investment securities available-for-sale decreased $7.7 million, or 6.6%, to $108.8 million as of September 30, 2025 from $116.5 million as of December 31, 2024. The liquidity from the decrease was used to fund the increase in our loan portfolio.</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Investment Securities Held-to-Maturity</w:t>
      </w:r>
      <w:r>
        <w:rPr>
          <w:rFonts w:ascii="Times New Roman;Times;serif" w:hAnsi="Times New Roman;Times;serif"/>
          <w:sz w:val="20"/>
        </w:rPr>
        <w:t>. Investment securities held-to-maturity decreased $4.2 million, or 12.4%, to $29.8 million as of September 30, 2025 from $34.0 million as of December 31, 2024. The liquidity from the decrease was used to fund the increase in our loan portfolio.</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Real Estate Owned</w:t>
      </w:r>
      <w:r>
        <w:rPr>
          <w:rFonts w:ascii="Times New Roman;Times;serif" w:hAnsi="Times New Roman;Times;serif"/>
          <w:sz w:val="20"/>
        </w:rPr>
        <w:t>. Real estate owned increased $729,000, or 525.2%, to $868,000 as of September 30, 2025 from $139,000 as of December 31, 2024. The increase was due to the transfer to real estate owned of the closed 63rd Street branch location that is held for sale</w:t>
      </w:r>
      <w:r>
        <w:rPr>
          <w:rFonts w:ascii="Times New Roman;Times;serif" w:hAnsi="Times New Roman;Times;serif"/>
          <w:b/>
          <w:sz w:val="20"/>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Loans Receivable, Net</w:t>
      </w:r>
      <w:r>
        <w:rPr>
          <w:rFonts w:ascii="Times New Roman;Times;serif" w:hAnsi="Times New Roman;Times;serif"/>
          <w:sz w:val="20"/>
        </w:rPr>
        <w:t>. Loans receivable, net increased $8.5 million, or 3.5%, to $249.4 million from $240.9 million as of December 31, 2024. The increase reflects the emphasis to increase the commercial loan portfolio during the first nine months of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Premises and Equipment, Net</w:t>
      </w:r>
      <w:r>
        <w:rPr>
          <w:rFonts w:ascii="Times New Roman;Times;serif" w:hAnsi="Times New Roman;Times;serif"/>
          <w:sz w:val="20"/>
        </w:rPr>
        <w:t>. Premises and equipment, net decreased $419,000 or 5.4% to $7.3 million during the first nine months of 2025 from $7.7 million as of December 31, 2024 due primarily to the branch closing discussed under “Real Estate Owned.”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Deposits</w:t>
      </w:r>
      <w:r>
        <w:rPr>
          <w:rFonts w:ascii="Times New Roman;Times;serif" w:hAnsi="Times New Roman;Times;serif"/>
          <w:sz w:val="20"/>
        </w:rPr>
        <w:t>. Deposits remained relatively unchanged during the first nine months of 2025 at $356.8 million from $357.3 million as of December 31,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Total Equity</w:t>
      </w:r>
      <w:r>
        <w:rPr>
          <w:rFonts w:ascii="Times New Roman;Times;serif" w:hAnsi="Times New Roman;Times;serif"/>
          <w:sz w:val="20"/>
        </w:rPr>
        <w:t>. Total equity for the first nine months of 2025 increased $4.3 million, or 5.0%, to $90.1 million from $85.8 million as of December 31, 2024. The increase was due primarily to a decrease in accumulated other comprehensive loss of $4.3 million during the first nine months of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Average Balances, Net Interest Income, and Yields Earned and Rates Paid</w:t>
      </w:r>
      <w:r>
        <w:rPr>
          <w:rFonts w:ascii="Times New Roman;Times;serif" w:hAnsi="Times New Roman;Times;serif"/>
          <w:sz w:val="20"/>
        </w:rPr>
        <w:t>. The following table shows for the periods indicated the total dollar amount of interest from average interest-earning assets and the resulting yields, as well as the interest expense on average interest-bearing liabilities, expressed both in dollars and rates, and the net interest margin. All average balances are based on daily balances. The table also reflects the yields on Hoyne Savings Bank’s interest-earning assets and costs of interest-bearing liabilities for the periods shown.</w:t>
      </w:r>
    </w:p>
    <w:tbl>
      <w:tblPr>
        <w:tblW w:w="10205" w:type="dxa"/>
        <w:jc w:val="left"/>
        <w:tblInd w:w="0" w:type="dxa"/>
        <w:tblLayout w:type="fixed"/>
        <w:tblCellMar>
          <w:top w:w="0" w:type="dxa"/>
          <w:left w:w="0" w:type="dxa"/>
          <w:bottom w:w="0" w:type="dxa"/>
          <w:right w:w="0" w:type="dxa"/>
        </w:tblCellMar>
      </w:tblPr>
      <w:tblGrid>
        <w:gridCol w:w="2810"/>
        <w:gridCol w:w="326"/>
        <w:gridCol w:w="213"/>
        <w:gridCol w:w="793"/>
        <w:gridCol w:w="361"/>
        <w:gridCol w:w="211"/>
        <w:gridCol w:w="571"/>
        <w:gridCol w:w="326"/>
        <w:gridCol w:w="721"/>
        <w:gridCol w:w="361"/>
        <w:gridCol w:w="213"/>
        <w:gridCol w:w="793"/>
        <w:gridCol w:w="361"/>
        <w:gridCol w:w="211"/>
        <w:gridCol w:w="571"/>
        <w:gridCol w:w="326"/>
        <w:gridCol w:w="721"/>
        <w:gridCol w:w="316"/>
      </w:tblGrid>
      <w:tr>
        <w:trPr/>
        <w:tc>
          <w:tcPr>
            <w:tcW w:w="28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784350" cy="175260"/>
                      <wp:effectExtent l="0" t="0" r="0" b="0"/>
                      <wp:wrapNone/>
                      <wp:docPr id="312" name="Frame311"/>
                      <a:graphic xmlns:a="http://schemas.openxmlformats.org/drawingml/2006/main">
                        <a:graphicData uri="http://schemas.microsoft.com/office/word/2010/wordprocessingShape">
                          <wps:wsp>
                            <wps:cNvSpPr txBox="1"/>
                            <wps:spPr>
                              <a:xfrm>
                                <a:off x="0" y="0"/>
                                <a:ext cx="1784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07010" cy="175260"/>
                      <wp:effectExtent l="0" t="0" r="0" b="0"/>
                      <wp:wrapNone/>
                      <wp:docPr id="313" name="Frame3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35255" cy="175260"/>
                      <wp:effectExtent l="0" t="0" r="0" b="0"/>
                      <wp:wrapNone/>
                      <wp:docPr id="314" name="Frame313"/>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503555" cy="175260"/>
                      <wp:effectExtent l="0" t="0" r="0" b="0"/>
                      <wp:wrapNone/>
                      <wp:docPr id="315" name="Frame314"/>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29235" cy="175260"/>
                      <wp:effectExtent l="0" t="0" r="0" b="0"/>
                      <wp:wrapNone/>
                      <wp:docPr id="316" name="Frame31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33985" cy="175260"/>
                      <wp:effectExtent l="0" t="0" r="0" b="0"/>
                      <wp:wrapNone/>
                      <wp:docPr id="317" name="Frame3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362585" cy="175260"/>
                      <wp:effectExtent l="0" t="0" r="0" b="0"/>
                      <wp:wrapNone/>
                      <wp:docPr id="318" name="Frame31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07010" cy="175260"/>
                      <wp:effectExtent l="0" t="0" r="0" b="0"/>
                      <wp:wrapNone/>
                      <wp:docPr id="319" name="Frame3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457835" cy="175260"/>
                      <wp:effectExtent l="0" t="0" r="0" b="0"/>
                      <wp:wrapNone/>
                      <wp:docPr id="320" name="Frame319"/>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29235" cy="175260"/>
                      <wp:effectExtent l="0" t="0" r="0" b="0"/>
                      <wp:wrapNone/>
                      <wp:docPr id="321" name="Frame32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35255" cy="175260"/>
                      <wp:effectExtent l="0" t="0" r="0" b="0"/>
                      <wp:wrapNone/>
                      <wp:docPr id="322" name="Frame321"/>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503555" cy="175260"/>
                      <wp:effectExtent l="0" t="0" r="0" b="0"/>
                      <wp:wrapNone/>
                      <wp:docPr id="323" name="Frame322"/>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29235" cy="175260"/>
                      <wp:effectExtent l="0" t="0" r="0" b="0"/>
                      <wp:wrapNone/>
                      <wp:docPr id="324" name="Frame32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33985" cy="175260"/>
                      <wp:effectExtent l="0" t="0" r="0" b="0"/>
                      <wp:wrapNone/>
                      <wp:docPr id="325" name="Frame3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362585" cy="175260"/>
                      <wp:effectExtent l="0" t="0" r="0" b="0"/>
                      <wp:wrapNone/>
                      <wp:docPr id="326" name="Frame32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07010" cy="175260"/>
                      <wp:effectExtent l="0" t="0" r="0" b="0"/>
                      <wp:wrapNone/>
                      <wp:docPr id="327" name="Frame3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457835" cy="175260"/>
                      <wp:effectExtent l="0" t="0" r="0" b="0"/>
                      <wp:wrapNone/>
                      <wp:docPr id="328" name="Frame32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00660" cy="175260"/>
                      <wp:effectExtent l="0" t="0" r="0" b="0"/>
                      <wp:wrapNone/>
                      <wp:docPr id="329" name="Frame32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1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753" w:type="dxa"/>
            <w:gridSpan w:val="1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September 30, </w:t>
            </w:r>
          </w:p>
        </w:tc>
        <w:tc>
          <w:tcPr>
            <w:tcW w:w="316" w:type="dxa"/>
            <w:tcBorders/>
            <w:vAlign w:val="center"/>
          </w:tcPr>
          <w:p>
            <w:pPr>
              <w:pStyle w:val="TableContents"/>
              <w:bidi w:val="0"/>
              <w:spacing w:before="0" w:after="0"/>
              <w:ind w:left="0" w:right="0" w:hanging="0"/>
              <w:jc w:val="center"/>
              <w:rPr/>
            </w:pPr>
            <w:r>
              <w:rPr/>
              <w:t> </w:t>
            </w:r>
          </w:p>
        </w:tc>
      </w:tr>
      <w:tr>
        <w:trPr/>
        <w:tc>
          <w:tcPr>
            <w:tcW w:w="281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196"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left"/>
              <w:rPr/>
            </w:pPr>
            <w:r>
              <w:rPr/>
              <w:t>​</w:t>
            </w:r>
          </w:p>
        </w:tc>
        <w:tc>
          <w:tcPr>
            <w:tcW w:w="3196"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16" w:type="dxa"/>
            <w:tcBorders/>
            <w:vAlign w:val="center"/>
          </w:tcPr>
          <w:p>
            <w:pPr>
              <w:pStyle w:val="TableContents"/>
              <w:bidi w:val="0"/>
              <w:spacing w:before="0" w:after="0"/>
              <w:ind w:left="0" w:right="0" w:hanging="0"/>
              <w:jc w:val="center"/>
              <w:rPr/>
            </w:pPr>
            <w:r>
              <w:rPr/>
              <w:t> </w:t>
            </w:r>
          </w:p>
        </w:tc>
      </w:tr>
      <w:tr>
        <w:trPr/>
        <w:tc>
          <w:tcPr>
            <w:tcW w:w="281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61" w:type="dxa"/>
            <w:tcBorders/>
            <w:vAlign w:val="center"/>
          </w:tcPr>
          <w:p>
            <w:pPr>
              <w:pStyle w:val="TableContents"/>
              <w:bidi w:val="0"/>
              <w:spacing w:before="0" w:after="0"/>
              <w:ind w:left="0" w:right="0" w:hanging="0"/>
              <w:jc w:val="center"/>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16" w:type="dxa"/>
            <w:tcBorders/>
            <w:vAlign w:val="center"/>
          </w:tcPr>
          <w:p>
            <w:pPr>
              <w:pStyle w:val="TableContents"/>
              <w:bidi w:val="0"/>
              <w:spacing w:before="0" w:after="0"/>
              <w:ind w:left="0" w:right="0" w:hanging="0"/>
              <w:jc w:val="center"/>
              <w:rPr/>
            </w:pPr>
            <w:r>
              <w:rPr/>
              <w:t> </w:t>
            </w:r>
          </w:p>
        </w:tc>
      </w:tr>
      <w:tr>
        <w:trPr/>
        <w:tc>
          <w:tcPr>
            <w:tcW w:w="281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Yield/</w:t>
            </w:r>
          </w:p>
        </w:tc>
        <w:tc>
          <w:tcPr>
            <w:tcW w:w="361"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Yield/</w:t>
            </w:r>
          </w:p>
        </w:tc>
        <w:tc>
          <w:tcPr>
            <w:tcW w:w="316" w:type="dxa"/>
            <w:tcBorders/>
            <w:vAlign w:val="center"/>
          </w:tcPr>
          <w:p>
            <w:pPr>
              <w:pStyle w:val="TableContents"/>
              <w:bidi w:val="0"/>
              <w:spacing w:before="0" w:after="0"/>
              <w:ind w:left="0" w:right="0" w:hanging="0"/>
              <w:jc w:val="center"/>
              <w:rPr/>
            </w:pPr>
            <w:r>
              <w:rPr/>
              <w:t> </w:t>
            </w:r>
          </w:p>
        </w:tc>
      </w:tr>
      <w:tr>
        <w:trPr/>
        <w:tc>
          <w:tcPr>
            <w:tcW w:w="281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61"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61" w:type="dxa"/>
            <w:tcBorders/>
            <w:vAlign w:val="center"/>
          </w:tcPr>
          <w:p>
            <w:pPr>
              <w:pStyle w:val="TableContents"/>
              <w:bidi w:val="0"/>
              <w:spacing w:before="0" w:after="0"/>
              <w:ind w:left="0" w:right="0" w:hanging="0"/>
              <w:jc w:val="left"/>
              <w:rPr/>
            </w:pPr>
            <w:r>
              <w:rPr/>
              <w:t>​</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61"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16" w:type="dxa"/>
            <w:tcBorders/>
            <w:vAlign w:val="center"/>
          </w:tcPr>
          <w:p>
            <w:pPr>
              <w:pStyle w:val="TableContents"/>
              <w:bidi w:val="0"/>
              <w:spacing w:before="0" w:after="0"/>
              <w:ind w:left="0" w:right="0" w:hanging="0"/>
              <w:jc w:val="center"/>
              <w:rPr/>
            </w:pPr>
            <w:r>
              <w:rPr/>
              <w:t> </w:t>
            </w:r>
          </w:p>
        </w:tc>
      </w:tr>
      <w:tr>
        <w:trPr/>
        <w:tc>
          <w:tcPr>
            <w:tcW w:w="10205" w:type="dxa"/>
            <w:gridSpan w:val="18"/>
            <w:tcBorders/>
            <w:vAlign w:val="center"/>
          </w:tcPr>
          <w:p>
            <w:pPr>
              <w:pStyle w:val="TableContents"/>
              <w:bidi w:val="0"/>
              <w:spacing w:before="0" w:after="283"/>
              <w:ind w:left="0" w:right="0" w:hanging="0"/>
              <w:jc w:val="left"/>
              <w:rPr>
                <w:sz w:val="4"/>
                <w:szCs w:val="4"/>
              </w:rPr>
            </w:pPr>
            <w:r>
              <w:rPr>
                <w:sz w:val="4"/>
                <w:szCs w:val="4"/>
              </w:rPr>
            </w:r>
          </w:p>
        </w:tc>
      </w:tr>
      <w:tr>
        <w:trPr/>
        <w:tc>
          <w:tcPr>
            <w:tcW w:w="281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753" w:type="dxa"/>
            <w:gridSpan w:val="1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316" w:type="dxa"/>
            <w:tcBorders/>
            <w:vAlign w:val="center"/>
          </w:tcPr>
          <w:p>
            <w:pPr>
              <w:pStyle w:val="TableContents"/>
              <w:bidi w:val="0"/>
              <w:spacing w:before="0" w:after="0"/>
              <w:ind w:left="0" w:right="0" w:hanging="0"/>
              <w:jc w:val="center"/>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Interest-earning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    </w:t>
            </w:r>
          </w:p>
        </w:tc>
        <w:tc>
          <w:tcPr>
            <w:tcW w:w="213"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8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net</w:t>
            </w:r>
          </w:p>
        </w:tc>
        <w:tc>
          <w:tcPr>
            <w:tcW w:w="32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249,620</w:t>
            </w:r>
          </w:p>
        </w:tc>
        <w:tc>
          <w:tcPr>
            <w:tcW w:w="3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3,991</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207,941</w:t>
            </w:r>
          </w:p>
        </w:tc>
        <w:tc>
          <w:tcPr>
            <w:tcW w:w="3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2,867</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Certificates of deposit with other financial institutions</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870</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1,350</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Interest-bearing cash and cash equivalents</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24,329</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23,825</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securities available-for-sale</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109,635</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126,028</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securities held-to-maturity</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30,253</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40,580</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FHLB of Chicago stock</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1,166</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1,166</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Bankers’ Bank Stock</w:t>
            </w:r>
          </w:p>
        </w:tc>
        <w:tc>
          <w:tcPr>
            <w:tcW w:w="32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interest-earning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416,865</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400,890</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4,185</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Noninterest-earning assets</w:t>
            </w:r>
          </w:p>
        </w:tc>
        <w:tc>
          <w:tcPr>
            <w:tcW w:w="32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36,512</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37,321</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453,377</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438,211</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81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Interest-bearing liabilities:</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Savings accounts</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94,569</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100,834</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Checking accounts</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50,168</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44,019</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accounts</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17,102</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16,191</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10"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Certificates of deposit</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194,144</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1,462</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184,736</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1,699</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interest-bearing deposits</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355,983</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1,586</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345,780</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1,808</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interest-bearing liabilities</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355,983</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1,586</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345,780</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1,808</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Noninterest-bearing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7,989</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5,588</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8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363,972</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351,368</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89,405</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86,843</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8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equity</w:t>
            </w:r>
          </w:p>
        </w:tc>
        <w:tc>
          <w:tcPr>
            <w:tcW w:w="326"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453,377</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438,211</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interest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3,414</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2,377</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810"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Interest rate spread</w:t>
            </w:r>
            <w:r>
              <w:rPr>
                <w:rFonts w:ascii="Times New Roman;Times;serif" w:hAnsi="Times New Roman;Times;serif"/>
                <w:sz w:val="15"/>
              </w:rPr>
              <w:t>(2)</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10"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Net interest-earning assets</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60,882</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55,110</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810"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Net interest margin</w:t>
            </w:r>
            <w:r>
              <w:rPr>
                <w:rFonts w:ascii="Times New Roman;Times;serif" w:hAnsi="Times New Roman;Times;serif"/>
                <w:sz w:val="15"/>
              </w:rPr>
              <w:t>(4)</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Average interest-earning assets to average-interest bearing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117.10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115.94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600"/>
        <w:gridCol w:w="326"/>
        <w:gridCol w:w="213"/>
        <w:gridCol w:w="793"/>
        <w:gridCol w:w="361"/>
        <w:gridCol w:w="211"/>
        <w:gridCol w:w="676"/>
        <w:gridCol w:w="326"/>
        <w:gridCol w:w="721"/>
        <w:gridCol w:w="361"/>
        <w:gridCol w:w="213"/>
        <w:gridCol w:w="793"/>
        <w:gridCol w:w="361"/>
        <w:gridCol w:w="211"/>
        <w:gridCol w:w="676"/>
        <w:gridCol w:w="326"/>
        <w:gridCol w:w="721"/>
        <w:gridCol w:w="316"/>
      </w:tblGrid>
      <w:tr>
        <w:trPr/>
        <w:tc>
          <w:tcPr>
            <w:tcW w:w="26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651000" cy="175260"/>
                      <wp:effectExtent l="0" t="0" r="0" b="0"/>
                      <wp:wrapNone/>
                      <wp:docPr id="330" name="Frame329"/>
                      <a:graphic xmlns:a="http://schemas.openxmlformats.org/drawingml/2006/main">
                        <a:graphicData uri="http://schemas.microsoft.com/office/word/2010/wordprocessingShape">
                          <wps:wsp>
                            <wps:cNvSpPr txBox="1"/>
                            <wps:spPr>
                              <a:xfrm>
                                <a:off x="0" y="0"/>
                                <a:ext cx="1651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07010" cy="175260"/>
                      <wp:effectExtent l="0" t="0" r="0" b="0"/>
                      <wp:wrapNone/>
                      <wp:docPr id="331" name="Frame3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35255" cy="175260"/>
                      <wp:effectExtent l="0" t="0" r="0" b="0"/>
                      <wp:wrapNone/>
                      <wp:docPr id="332" name="Frame331"/>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503555" cy="175260"/>
                      <wp:effectExtent l="0" t="0" r="0" b="0"/>
                      <wp:wrapNone/>
                      <wp:docPr id="333" name="Frame332"/>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29235" cy="175260"/>
                      <wp:effectExtent l="0" t="0" r="0" b="0"/>
                      <wp:wrapNone/>
                      <wp:docPr id="334" name="Frame33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33985" cy="175260"/>
                      <wp:effectExtent l="0" t="0" r="0" b="0"/>
                      <wp:wrapNone/>
                      <wp:docPr id="335" name="Frame3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429260" cy="175260"/>
                      <wp:effectExtent l="0" t="0" r="0" b="0"/>
                      <wp:wrapNone/>
                      <wp:docPr id="336" name="Frame33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07010" cy="175260"/>
                      <wp:effectExtent l="0" t="0" r="0" b="0"/>
                      <wp:wrapNone/>
                      <wp:docPr id="337" name="Frame3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457835" cy="175260"/>
                      <wp:effectExtent l="0" t="0" r="0" b="0"/>
                      <wp:wrapNone/>
                      <wp:docPr id="338" name="Frame33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29235" cy="175260"/>
                      <wp:effectExtent l="0" t="0" r="0" b="0"/>
                      <wp:wrapNone/>
                      <wp:docPr id="339" name="Frame33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35255" cy="175260"/>
                      <wp:effectExtent l="0" t="0" r="0" b="0"/>
                      <wp:wrapNone/>
                      <wp:docPr id="340" name="Frame339"/>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503555" cy="175260"/>
                      <wp:effectExtent l="0" t="0" r="0" b="0"/>
                      <wp:wrapNone/>
                      <wp:docPr id="341" name="Frame340"/>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29235" cy="175260"/>
                      <wp:effectExtent l="0" t="0" r="0" b="0"/>
                      <wp:wrapNone/>
                      <wp:docPr id="342" name="Frame34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33985" cy="175260"/>
                      <wp:effectExtent l="0" t="0" r="0" b="0"/>
                      <wp:wrapNone/>
                      <wp:docPr id="343" name="Frame3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429260" cy="175260"/>
                      <wp:effectExtent l="0" t="0" r="0" b="0"/>
                      <wp:wrapNone/>
                      <wp:docPr id="344" name="Frame34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07010" cy="175260"/>
                      <wp:effectExtent l="0" t="0" r="0" b="0"/>
                      <wp:wrapNone/>
                      <wp:docPr id="345" name="Frame3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457835" cy="175260"/>
                      <wp:effectExtent l="0" t="0" r="0" b="0"/>
                      <wp:wrapNone/>
                      <wp:docPr id="346" name="Frame34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00660" cy="175260"/>
                      <wp:effectExtent l="0" t="0" r="0" b="0"/>
                      <wp:wrapNone/>
                      <wp:docPr id="347" name="Frame34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0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6963" w:type="dxa"/>
            <w:gridSpan w:val="1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Nine Months Ended September 30, </w:t>
            </w:r>
          </w:p>
        </w:tc>
        <w:tc>
          <w:tcPr>
            <w:tcW w:w="316" w:type="dxa"/>
            <w:tcBorders/>
            <w:vAlign w:val="center"/>
          </w:tcPr>
          <w:p>
            <w:pPr>
              <w:pStyle w:val="TableContents"/>
              <w:bidi w:val="0"/>
              <w:spacing w:before="0" w:after="1"/>
              <w:ind w:left="0" w:right="0" w:hanging="0"/>
              <w:jc w:val="center"/>
              <w:rPr/>
            </w:pPr>
            <w:r>
              <w:rPr/>
              <w:t> </w:t>
            </w:r>
          </w:p>
        </w:tc>
      </w:tr>
      <w:tr>
        <w:trPr/>
        <w:tc>
          <w:tcPr>
            <w:tcW w:w="260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301"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1"/>
              <w:ind w:left="0" w:right="0" w:hanging="0"/>
              <w:jc w:val="left"/>
              <w:rPr/>
            </w:pPr>
            <w:r>
              <w:rPr/>
              <w:t>​</w:t>
            </w:r>
          </w:p>
        </w:tc>
        <w:tc>
          <w:tcPr>
            <w:tcW w:w="3301"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16" w:type="dxa"/>
            <w:tcBorders/>
            <w:vAlign w:val="center"/>
          </w:tcPr>
          <w:p>
            <w:pPr>
              <w:pStyle w:val="TableContents"/>
              <w:bidi w:val="0"/>
              <w:spacing w:before="0" w:after="1"/>
              <w:ind w:left="0" w:right="0" w:hanging="0"/>
              <w:jc w:val="center"/>
              <w:rPr/>
            </w:pPr>
            <w:r>
              <w:rPr/>
              <w:t> </w:t>
            </w:r>
          </w:p>
        </w:tc>
      </w:tr>
      <w:tr>
        <w:trPr/>
        <w:tc>
          <w:tcPr>
            <w:tcW w:w="260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61"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16" w:type="dxa"/>
            <w:tcBorders/>
            <w:vAlign w:val="center"/>
          </w:tcPr>
          <w:p>
            <w:pPr>
              <w:pStyle w:val="TableContents"/>
              <w:bidi w:val="0"/>
              <w:spacing w:before="0" w:after="1"/>
              <w:ind w:left="0" w:right="0" w:hanging="0"/>
              <w:jc w:val="center"/>
              <w:rPr/>
            </w:pPr>
            <w:r>
              <w:rPr/>
              <w:t> </w:t>
            </w:r>
          </w:p>
        </w:tc>
      </w:tr>
      <w:tr>
        <w:trPr/>
        <w:tc>
          <w:tcPr>
            <w:tcW w:w="260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Yield/</w:t>
            </w:r>
          </w:p>
        </w:tc>
        <w:tc>
          <w:tcPr>
            <w:tcW w:w="361"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Yield/</w:t>
            </w:r>
          </w:p>
        </w:tc>
        <w:tc>
          <w:tcPr>
            <w:tcW w:w="316" w:type="dxa"/>
            <w:tcBorders/>
            <w:vAlign w:val="center"/>
          </w:tcPr>
          <w:p>
            <w:pPr>
              <w:pStyle w:val="TableContents"/>
              <w:bidi w:val="0"/>
              <w:spacing w:before="0" w:after="1"/>
              <w:ind w:left="0" w:right="0" w:hanging="0"/>
              <w:jc w:val="center"/>
              <w:rPr/>
            </w:pPr>
            <w:r>
              <w:rPr/>
              <w:t> </w:t>
            </w:r>
          </w:p>
        </w:tc>
      </w:tr>
      <w:tr>
        <w:trPr/>
        <w:tc>
          <w:tcPr>
            <w:tcW w:w="260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61"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26" w:type="dxa"/>
            <w:tcBorders/>
            <w:vAlign w:val="center"/>
          </w:tcPr>
          <w:p>
            <w:pPr>
              <w:pStyle w:val="TableContents"/>
              <w:bidi w:val="0"/>
              <w:spacing w:before="0" w:after="1"/>
              <w:ind w:left="0" w:right="0" w:hanging="0"/>
              <w:jc w:val="center"/>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61" w:type="dxa"/>
            <w:tcBorders/>
            <w:vAlign w:val="center"/>
          </w:tcPr>
          <w:p>
            <w:pPr>
              <w:pStyle w:val="TableContents"/>
              <w:bidi w:val="0"/>
              <w:spacing w:before="0" w:after="1"/>
              <w:ind w:left="0" w:right="0" w:hanging="0"/>
              <w:jc w:val="left"/>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61"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26" w:type="dxa"/>
            <w:tcBorders/>
            <w:vAlign w:val="center"/>
          </w:tcPr>
          <w:p>
            <w:pPr>
              <w:pStyle w:val="TableContents"/>
              <w:bidi w:val="0"/>
              <w:spacing w:before="0" w:after="1"/>
              <w:ind w:left="0" w:right="0" w:hanging="0"/>
              <w:jc w:val="center"/>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16" w:type="dxa"/>
            <w:tcBorders/>
            <w:vAlign w:val="center"/>
          </w:tcPr>
          <w:p>
            <w:pPr>
              <w:pStyle w:val="TableContents"/>
              <w:bidi w:val="0"/>
              <w:spacing w:before="0" w:after="1"/>
              <w:ind w:left="0" w:right="0" w:hanging="0"/>
              <w:jc w:val="center"/>
              <w:rPr/>
            </w:pPr>
            <w:r>
              <w:rPr/>
              <w:t> </w:t>
            </w:r>
          </w:p>
        </w:tc>
      </w:tr>
      <w:tr>
        <w:trPr/>
        <w:tc>
          <w:tcPr>
            <w:tcW w:w="10205" w:type="dxa"/>
            <w:gridSpan w:val="18"/>
            <w:tcBorders/>
            <w:vAlign w:val="center"/>
          </w:tcPr>
          <w:p>
            <w:pPr>
              <w:pStyle w:val="TableContents"/>
              <w:bidi w:val="0"/>
              <w:spacing w:before="0" w:after="283"/>
              <w:ind w:left="0" w:right="0" w:hanging="0"/>
              <w:jc w:val="left"/>
              <w:rPr>
                <w:sz w:val="4"/>
                <w:szCs w:val="4"/>
              </w:rPr>
            </w:pPr>
            <w:r>
              <w:rPr>
                <w:sz w:val="4"/>
                <w:szCs w:val="4"/>
              </w:rPr>
            </w:r>
          </w:p>
        </w:tc>
      </w:tr>
      <w:tr>
        <w:trPr/>
        <w:tc>
          <w:tcPr>
            <w:tcW w:w="260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6963" w:type="dxa"/>
            <w:gridSpan w:val="15"/>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(Dollars in thousands)</w:t>
            </w:r>
          </w:p>
        </w:tc>
        <w:tc>
          <w:tcPr>
            <w:tcW w:w="316" w:type="dxa"/>
            <w:tcBorders/>
            <w:vAlign w:val="center"/>
          </w:tcPr>
          <w:p>
            <w:pPr>
              <w:pStyle w:val="TableContents"/>
              <w:bidi w:val="0"/>
              <w:spacing w:before="0" w:after="1"/>
              <w:ind w:left="0" w:right="0" w:hanging="0"/>
              <w:jc w:val="center"/>
              <w:rPr>
                <w:color w:val="231F20"/>
              </w:rPr>
            </w:pPr>
            <w:r>
              <w:rPr>
                <w:color w:val="231F20"/>
              </w:rPr>
              <w:t> </w:t>
            </w:r>
          </w:p>
        </w:tc>
      </w:tr>
      <w:tr>
        <w:trPr/>
        <w:tc>
          <w:tcPr>
            <w:tcW w:w="2600"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Interest-earning assets:</w:t>
            </w:r>
          </w:p>
        </w:tc>
        <w:tc>
          <w:tcPr>
            <w:tcW w:w="326" w:type="dxa"/>
            <w:tcBorders/>
            <w:shd w:fill="CCEEFF" w:val="clear"/>
            <w:vAlign w:val="center"/>
          </w:tcPr>
          <w:p>
            <w:pPr>
              <w:pStyle w:val="TableContents"/>
              <w:bidi w:val="0"/>
              <w:spacing w:before="0" w:after="1"/>
              <w:ind w:left="0" w:right="0" w:hanging="0"/>
              <w:jc w:val="center"/>
              <w:rPr/>
            </w:pPr>
            <w:r>
              <w:rPr/>
              <w:t>​</w:t>
            </w:r>
          </w:p>
        </w:tc>
        <w:tc>
          <w:tcPr>
            <w:tcW w:w="213" w:type="dxa"/>
            <w:tcBorders/>
            <w:shd w:fill="CCEEFF" w:val="clear"/>
            <w:vAlign w:val="center"/>
          </w:tcPr>
          <w:p>
            <w:pPr>
              <w:pStyle w:val="TableContents"/>
              <w:bidi w:val="0"/>
              <w:spacing w:before="0" w:after="1"/>
              <w:ind w:left="0" w:right="0" w:hanging="0"/>
              <w:jc w:val="center"/>
              <w:rPr>
                <w:color w:val="231F20"/>
              </w:rPr>
            </w:pPr>
            <w:r>
              <w:rPr>
                <w:color w:val="231F20"/>
              </w:rPr>
              <w:t>​</w:t>
            </w:r>
          </w:p>
        </w:tc>
        <w:tc>
          <w:tcPr>
            <w:tcW w:w="793" w:type="dxa"/>
            <w:tcBorders/>
            <w:shd w:fill="CCEEFF" w:val="clear"/>
            <w:vAlign w:val="center"/>
          </w:tcPr>
          <w:p>
            <w:pPr>
              <w:pStyle w:val="TableContents"/>
              <w:bidi w:val="0"/>
              <w:spacing w:before="0" w:after="1"/>
              <w:ind w:left="0" w:right="0" w:hanging="0"/>
              <w:jc w:val="center"/>
              <w:rPr>
                <w:color w:val="231F20"/>
              </w:rPr>
            </w:pPr>
            <w:r>
              <w:rPr>
                <w:color w:val="231F20"/>
              </w:rPr>
              <w:t>​</w:t>
            </w:r>
          </w:p>
        </w:tc>
        <w:tc>
          <w:tcPr>
            <w:tcW w:w="361" w:type="dxa"/>
            <w:tcBorders/>
            <w:shd w:fill="CCEEFF" w:val="clear"/>
            <w:vAlign w:val="center"/>
          </w:tcPr>
          <w:p>
            <w:pPr>
              <w:pStyle w:val="TableContents"/>
              <w:bidi w:val="0"/>
              <w:spacing w:before="0" w:after="1"/>
              <w:ind w:left="0" w:right="0" w:hanging="0"/>
              <w:jc w:val="center"/>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center"/>
              <w:rPr>
                <w:color w:val="231F20"/>
              </w:rPr>
            </w:pPr>
            <w:r>
              <w:rPr>
                <w:color w:val="231F20"/>
              </w:rPr>
              <w:t>​</w:t>
            </w:r>
          </w:p>
        </w:tc>
        <w:tc>
          <w:tcPr>
            <w:tcW w:w="676" w:type="dxa"/>
            <w:tcBorders/>
            <w:shd w:fill="CCEEFF" w:val="clear"/>
            <w:vAlign w:val="center"/>
          </w:tcPr>
          <w:p>
            <w:pPr>
              <w:pStyle w:val="TableContents"/>
              <w:bidi w:val="0"/>
              <w:spacing w:before="0" w:after="1"/>
              <w:ind w:left="0" w:right="0" w:hanging="0"/>
              <w:jc w:val="center"/>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center"/>
              <w:rPr>
                <w:color w:val="231F20"/>
              </w:rPr>
            </w:pPr>
            <w:r>
              <w:rPr>
                <w:color w:val="231F20"/>
              </w:rPr>
              <w:t>​</w:t>
            </w:r>
          </w:p>
        </w:tc>
        <w:tc>
          <w:tcPr>
            <w:tcW w:w="721" w:type="dxa"/>
            <w:tcBorders/>
            <w:shd w:fill="CCEEFF" w:val="clear"/>
            <w:vAlign w:val="center"/>
          </w:tcPr>
          <w:p>
            <w:pPr>
              <w:pStyle w:val="TableContents"/>
              <w:bidi w:val="0"/>
              <w:spacing w:before="0" w:after="1"/>
              <w:ind w:left="0" w:right="0" w:hanging="0"/>
              <w:jc w:val="center"/>
              <w:rPr>
                <w:color w:val="231F20"/>
              </w:rPr>
            </w:pPr>
            <w:r>
              <w:rPr>
                <w:color w:val="231F20"/>
              </w:rPr>
              <w:t>​</w:t>
            </w:r>
          </w:p>
        </w:tc>
        <w:tc>
          <w:tcPr>
            <w:tcW w:w="361" w:type="dxa"/>
            <w:tcBorders/>
            <w:shd w:fill="CCEEFF" w:val="clear"/>
            <w:vAlign w:val="center"/>
          </w:tcPr>
          <w:p>
            <w:pPr>
              <w:pStyle w:val="TableContents"/>
              <w:bidi w:val="0"/>
              <w:spacing w:before="0" w:after="1"/>
              <w:ind w:left="0" w:right="0" w:hanging="0"/>
              <w:jc w:val="center"/>
              <w:rPr>
                <w:color w:val="231F20"/>
              </w:rPr>
            </w:pPr>
            <w:r>
              <w:rPr>
                <w:color w:val="231F20"/>
              </w:rPr>
              <w:t>​</w:t>
            </w:r>
          </w:p>
        </w:tc>
        <w:tc>
          <w:tcPr>
            <w:tcW w:w="213" w:type="dxa"/>
            <w:tcBorders/>
            <w:shd w:fill="CCEEFF" w:val="clear"/>
            <w:vAlign w:val="center"/>
          </w:tcPr>
          <w:p>
            <w:pPr>
              <w:pStyle w:val="TableContents"/>
              <w:bidi w:val="0"/>
              <w:spacing w:before="0" w:after="1"/>
              <w:ind w:left="0" w:right="0" w:hanging="0"/>
              <w:jc w:val="center"/>
              <w:rPr>
                <w:color w:val="231F20"/>
              </w:rPr>
            </w:pPr>
            <w:r>
              <w:rPr>
                <w:color w:val="231F20"/>
              </w:rPr>
              <w:t>​</w:t>
            </w:r>
          </w:p>
        </w:tc>
        <w:tc>
          <w:tcPr>
            <w:tcW w:w="793" w:type="dxa"/>
            <w:tcBorders/>
            <w:shd w:fill="CCEEFF" w:val="clear"/>
            <w:vAlign w:val="center"/>
          </w:tcPr>
          <w:p>
            <w:pPr>
              <w:pStyle w:val="TableContents"/>
              <w:bidi w:val="0"/>
              <w:spacing w:before="0" w:after="1"/>
              <w:ind w:left="0" w:right="0" w:hanging="0"/>
              <w:jc w:val="center"/>
              <w:rPr>
                <w:color w:val="231F20"/>
              </w:rPr>
            </w:pPr>
            <w:r>
              <w:rPr>
                <w:color w:val="231F20"/>
              </w:rPr>
              <w:t>​</w:t>
            </w:r>
          </w:p>
        </w:tc>
        <w:tc>
          <w:tcPr>
            <w:tcW w:w="361" w:type="dxa"/>
            <w:tcBorders/>
            <w:shd w:fill="CCEEFF" w:val="clear"/>
            <w:vAlign w:val="center"/>
          </w:tcPr>
          <w:p>
            <w:pPr>
              <w:pStyle w:val="TableContents"/>
              <w:bidi w:val="0"/>
              <w:spacing w:before="0" w:after="1"/>
              <w:ind w:left="0" w:right="0" w:hanging="0"/>
              <w:jc w:val="center"/>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center"/>
              <w:rPr>
                <w:color w:val="231F20"/>
              </w:rPr>
            </w:pPr>
            <w:r>
              <w:rPr>
                <w:color w:val="231F20"/>
              </w:rPr>
              <w:t>​</w:t>
            </w:r>
          </w:p>
        </w:tc>
        <w:tc>
          <w:tcPr>
            <w:tcW w:w="676" w:type="dxa"/>
            <w:tcBorders/>
            <w:shd w:fill="CCEEFF" w:val="clear"/>
            <w:vAlign w:val="center"/>
          </w:tcPr>
          <w:p>
            <w:pPr>
              <w:pStyle w:val="TableContents"/>
              <w:bidi w:val="0"/>
              <w:spacing w:before="0" w:after="1"/>
              <w:ind w:left="0" w:right="0" w:hanging="0"/>
              <w:jc w:val="center"/>
              <w:rPr>
                <w:color w:val="231F20"/>
              </w:rPr>
            </w:pPr>
            <w:r>
              <w:rPr>
                <w:color w:val="231F20"/>
              </w:rPr>
              <w:t>​</w:t>
            </w:r>
          </w:p>
        </w:tc>
        <w:tc>
          <w:tcPr>
            <w:tcW w:w="326" w:type="dxa"/>
            <w:tcBorders/>
            <w:shd w:fill="CCEEFF" w:val="clear"/>
            <w:vAlign w:val="center"/>
          </w:tcPr>
          <w:p>
            <w:pPr>
              <w:pStyle w:val="TableContents"/>
              <w:bidi w:val="0"/>
              <w:spacing w:before="0" w:after="1"/>
              <w:ind w:left="0" w:right="0" w:hanging="0"/>
              <w:jc w:val="center"/>
              <w:rPr>
                <w:color w:val="231F20"/>
              </w:rPr>
            </w:pPr>
            <w:r>
              <w:rPr>
                <w:color w:val="231F20"/>
              </w:rPr>
              <w:t>​</w:t>
            </w:r>
          </w:p>
        </w:tc>
        <w:tc>
          <w:tcPr>
            <w:tcW w:w="721" w:type="dxa"/>
            <w:tcBorders/>
            <w:shd w:fill="CCEEFF" w:val="clear"/>
            <w:vAlign w:val="center"/>
          </w:tcPr>
          <w:p>
            <w:pPr>
              <w:pStyle w:val="TableContents"/>
              <w:bidi w:val="0"/>
              <w:spacing w:before="0" w:after="1"/>
              <w:ind w:left="0" w:right="0" w:hanging="0"/>
              <w:jc w:val="center"/>
              <w:rPr>
                <w:color w:val="231F20"/>
              </w:rPr>
            </w:pPr>
            <w:r>
              <w:rPr>
                <w:color w:val="231F20"/>
              </w:rPr>
              <w:t>​</w:t>
            </w:r>
          </w:p>
        </w:tc>
        <w:tc>
          <w:tcPr>
            <w:tcW w:w="316" w:type="dxa"/>
            <w:tcBorders/>
            <w:shd w:fill="CCEEFF" w:val="clear"/>
            <w:vAlign w:val="center"/>
          </w:tcPr>
          <w:p>
            <w:pPr>
              <w:pStyle w:val="TableContents"/>
              <w:bidi w:val="0"/>
              <w:spacing w:before="0" w:after="1"/>
              <w:ind w:left="0" w:right="0" w:hanging="0"/>
              <w:jc w:val="center"/>
              <w:rPr>
                <w:color w:val="231F20"/>
              </w:rPr>
            </w:pPr>
            <w:r>
              <w:rPr>
                <w:color w:val="231F20"/>
              </w:rPr>
              <w:t>​</w:t>
            </w:r>
          </w:p>
        </w:tc>
      </w:tr>
      <w:tr>
        <w:trPr/>
        <w:tc>
          <w:tcPr>
            <w:tcW w:w="26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Loans, net</w:t>
            </w:r>
          </w:p>
        </w:tc>
        <w:tc>
          <w:tcPr>
            <w:tcW w:w="326" w:type="dxa"/>
            <w:tcBorders/>
            <w:vAlign w:val="center"/>
          </w:tcPr>
          <w:p>
            <w:pPr>
              <w:pStyle w:val="TableContents"/>
              <w:bidi w:val="0"/>
              <w:spacing w:before="0" w:after="1"/>
              <w:ind w:left="0" w:right="0" w:hanging="0"/>
              <w:jc w:val="left"/>
              <w:rPr/>
            </w:pPr>
            <w:r>
              <w:rPr/>
              <w:t>    </w:t>
            </w:r>
          </w:p>
        </w:tc>
        <w:tc>
          <w:tcPr>
            <w:tcW w:w="21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245,958</w:t>
            </w:r>
          </w:p>
        </w:tc>
        <w:tc>
          <w:tcPr>
            <w:tcW w:w="361"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11,638</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6.31</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202,522</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8,083</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5.32</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Certificates of deposit with other financial institutions</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977</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1,350</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Interest-bearing cash and cash equivalents </w:t>
            </w:r>
          </w:p>
        </w:tc>
        <w:tc>
          <w:tcPr>
            <w:tcW w:w="32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26,416</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696</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25,683</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798</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securities available-for-sale</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112,748</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1,851</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128,978</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2,392</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securities held-to-maturity</w:t>
            </w:r>
          </w:p>
        </w:tc>
        <w:tc>
          <w:tcPr>
            <w:tcW w:w="32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31,641</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520</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47,986</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890</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FHLB of Chicago stock</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1,166</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1,166</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Bankers’ Bank Stock </w:t>
            </w:r>
          </w:p>
        </w:tc>
        <w:tc>
          <w:tcPr>
            <w:tcW w:w="326"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992</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interest-earning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419,898</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14,775</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4.69</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407,685</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12,236</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Noninterest-earning assets</w:t>
            </w:r>
          </w:p>
        </w:tc>
        <w:tc>
          <w:tcPr>
            <w:tcW w:w="326" w:type="dxa"/>
            <w:tcBorders/>
            <w:vAlign w:val="center"/>
          </w:tcPr>
          <w:p>
            <w:pPr>
              <w:pStyle w:val="TableContents"/>
              <w:bidi w:val="0"/>
              <w:spacing w:before="0" w:after="1"/>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79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36,732</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79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35,344</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26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456,630</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443,029</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60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Interest-bearing liabilities:</w:t>
            </w:r>
          </w:p>
        </w:tc>
        <w:tc>
          <w:tcPr>
            <w:tcW w:w="32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26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Savings accounts</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97,755</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0.28</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103,906</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Checking accounts</w:t>
            </w:r>
          </w:p>
        </w:tc>
        <w:tc>
          <w:tcPr>
            <w:tcW w:w="32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49,270</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0.01</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43,503</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Money market accounts</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17,319</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17,206</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Certificates of deposit</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196,837</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4,492</w:t>
            </w:r>
          </w:p>
        </w:tc>
        <w:tc>
          <w:tcPr>
            <w:tcW w:w="326"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185,545</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5,055</w:t>
            </w:r>
          </w:p>
        </w:tc>
        <w:tc>
          <w:tcPr>
            <w:tcW w:w="326"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interest-bearing deposits</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361,181</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4,884</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350,160</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5,382</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interest-bearing liabilities</w:t>
            </w:r>
          </w:p>
        </w:tc>
        <w:tc>
          <w:tcPr>
            <w:tcW w:w="32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361,181</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4,884</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350,160</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5,382</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Noninterest-bearing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7,372</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6,615</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6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vAlign w:val="center"/>
          </w:tcPr>
          <w:p>
            <w:pPr>
              <w:pStyle w:val="TableContents"/>
              <w:bidi w:val="0"/>
              <w:spacing w:before="0" w:after="1"/>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79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368,553</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79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356,775</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26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88,077</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86,254</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6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 and equity</w:t>
            </w:r>
          </w:p>
        </w:tc>
        <w:tc>
          <w:tcPr>
            <w:tcW w:w="326" w:type="dxa"/>
            <w:tcBorders/>
            <w:vAlign w:val="center"/>
          </w:tcPr>
          <w:p>
            <w:pPr>
              <w:pStyle w:val="TableContents"/>
              <w:bidi w:val="0"/>
              <w:spacing w:before="0" w:after="1"/>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456,630</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443,029</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2600"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Net interest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9,891</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6,854</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600"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color w:val="231F20"/>
                <w:sz w:val="20"/>
              </w:rPr>
              <w:t>Interest rate spread</w:t>
            </w:r>
            <w:r>
              <w:rPr>
                <w:rFonts w:ascii="Times New Roman;Times;serif" w:hAnsi="Times New Roman;Times;serif"/>
                <w:color w:val="231F20"/>
                <w:sz w:val="15"/>
              </w:rPr>
              <w:t>(2)</w:t>
            </w:r>
          </w:p>
        </w:tc>
        <w:tc>
          <w:tcPr>
            <w:tcW w:w="32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2.89</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1.95</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color w:val="231F20"/>
                <w:sz w:val="20"/>
              </w:rPr>
              <w:t>Net interest-earning assets</w:t>
            </w:r>
            <w:r>
              <w:rPr>
                <w:rFonts w:ascii="Times New Roman;Times;serif" w:hAnsi="Times New Roman;Times;serif"/>
                <w:color w:val="231F20"/>
                <w:sz w:val="15"/>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58,717</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57,525</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600"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color w:val="231F20"/>
                <w:sz w:val="20"/>
              </w:rPr>
              <w:t>Net interest margin</w:t>
            </w:r>
            <w:r>
              <w:rPr>
                <w:rFonts w:ascii="Times New Roman;Times;serif" w:hAnsi="Times New Roman;Times;serif"/>
                <w:color w:val="231F20"/>
                <w:sz w:val="15"/>
              </w:rPr>
              <w:t>(4)</w:t>
            </w:r>
          </w:p>
        </w:tc>
        <w:tc>
          <w:tcPr>
            <w:tcW w:w="32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3.14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2.24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Average interest-earning assets to average-interest bearing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116.26</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116.43</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bl>
    <w:tbl>
      <w:tblPr>
        <w:tblW w:w="7922" w:type="dxa"/>
        <w:jc w:val="left"/>
        <w:tblInd w:w="0" w:type="dxa"/>
        <w:tblLayout w:type="fixed"/>
        <w:tblCellMar>
          <w:top w:w="0" w:type="dxa"/>
          <w:left w:w="0" w:type="dxa"/>
          <w:bottom w:w="0" w:type="dxa"/>
          <w:right w:w="0" w:type="dxa"/>
        </w:tblCellMar>
      </w:tblPr>
      <w:tblGrid>
        <w:gridCol w:w="346"/>
        <w:gridCol w:w="7576"/>
      </w:tblGrid>
      <w:tr>
        <w:trPr/>
        <w:tc>
          <w:tcPr>
            <w:tcW w:w="346"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(1)</w:t>
            </w:r>
          </w:p>
        </w:tc>
        <w:tc>
          <w:tcPr>
            <w:tcW w:w="7576"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Certificate of Deposit Account Registry Service (“CDARS”) added to certificates of deposit.</w:t>
            </w:r>
          </w:p>
        </w:tc>
      </w:tr>
    </w:tbl>
    <w:tbl>
      <w:tblPr>
        <w:tblW w:w="9902" w:type="dxa"/>
        <w:jc w:val="left"/>
        <w:tblInd w:w="0" w:type="dxa"/>
        <w:tblLayout w:type="fixed"/>
        <w:tblCellMar>
          <w:top w:w="0" w:type="dxa"/>
          <w:left w:w="0" w:type="dxa"/>
          <w:bottom w:w="0" w:type="dxa"/>
          <w:right w:w="0" w:type="dxa"/>
        </w:tblCellMar>
      </w:tblPr>
      <w:tblGrid>
        <w:gridCol w:w="346"/>
        <w:gridCol w:w="9556"/>
      </w:tblGrid>
      <w:tr>
        <w:trPr/>
        <w:tc>
          <w:tcPr>
            <w:tcW w:w="346"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(2)</w:t>
            </w:r>
          </w:p>
        </w:tc>
        <w:tc>
          <w:tcPr>
            <w:tcW w:w="9556"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Equals the difference between the yield on average earning-assets and the cost of average interest-bearing liabilities.</w:t>
            </w:r>
          </w:p>
        </w:tc>
      </w:tr>
    </w:tbl>
    <w:tbl>
      <w:tblPr>
        <w:tblW w:w="6257" w:type="dxa"/>
        <w:jc w:val="left"/>
        <w:tblInd w:w="0" w:type="dxa"/>
        <w:tblLayout w:type="fixed"/>
        <w:tblCellMar>
          <w:top w:w="0" w:type="dxa"/>
          <w:left w:w="0" w:type="dxa"/>
          <w:bottom w:w="0" w:type="dxa"/>
          <w:right w:w="0" w:type="dxa"/>
        </w:tblCellMar>
      </w:tblPr>
      <w:tblGrid>
        <w:gridCol w:w="346"/>
        <w:gridCol w:w="5911"/>
      </w:tblGrid>
      <w:tr>
        <w:trPr/>
        <w:tc>
          <w:tcPr>
            <w:tcW w:w="346"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(3)</w:t>
            </w:r>
          </w:p>
        </w:tc>
        <w:tc>
          <w:tcPr>
            <w:tcW w:w="5911"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Equals total interest-earning assets less total interest-bearing liabilities.</w:t>
            </w:r>
          </w:p>
        </w:tc>
      </w:tr>
    </w:tbl>
    <w:tbl>
      <w:tblPr>
        <w:tblW w:w="5867" w:type="dxa"/>
        <w:jc w:val="left"/>
        <w:tblInd w:w="0" w:type="dxa"/>
        <w:tblLayout w:type="fixed"/>
        <w:tblCellMar>
          <w:top w:w="0" w:type="dxa"/>
          <w:left w:w="0" w:type="dxa"/>
          <w:bottom w:w="0" w:type="dxa"/>
          <w:right w:w="0" w:type="dxa"/>
        </w:tblCellMar>
      </w:tblPr>
      <w:tblGrid>
        <w:gridCol w:w="346"/>
        <w:gridCol w:w="5521"/>
      </w:tblGrid>
      <w:tr>
        <w:trPr/>
        <w:tc>
          <w:tcPr>
            <w:tcW w:w="346"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(4)</w:t>
            </w:r>
          </w:p>
        </w:tc>
        <w:tc>
          <w:tcPr>
            <w:tcW w:w="5521"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Equals net interest income divided by total interest-earning assets.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Rate/Volume Analysis</w:t>
      </w:r>
      <w:r>
        <w:rPr>
          <w:rFonts w:ascii="Times New Roman;Times;serif" w:hAnsi="Times New Roman;Times;serif"/>
          <w:sz w:val="20"/>
        </w:rPr>
        <w:t>. The following table shows the extent to which changes in interest rates and changes in volume of interest-earning assets and interest-bearing liabilities affected our interest income and expense during the periods indicated. For each category of interest-earning assets and interest-bearing liabilities, information is provided on changes attributable to (1) changes in rate, which is the change in rate multiplied by prior year volume, and (2) changes in volume, which is the change in volume multiplied by prior year rate. The combined effect of changes in both rate and volume has been allocated proportionately to the change due to rate and the change due to volume.</w:t>
      </w:r>
    </w:p>
    <w:tbl>
      <w:tblPr>
        <w:tblW w:w="10205" w:type="dxa"/>
        <w:jc w:val="left"/>
        <w:tblInd w:w="0" w:type="dxa"/>
        <w:tblLayout w:type="fixed"/>
        <w:tblCellMar>
          <w:top w:w="0" w:type="dxa"/>
          <w:left w:w="0" w:type="dxa"/>
          <w:bottom w:w="0" w:type="dxa"/>
          <w:right w:w="0" w:type="dxa"/>
        </w:tblCellMar>
      </w:tblPr>
      <w:tblGrid>
        <w:gridCol w:w="3535"/>
        <w:gridCol w:w="326"/>
        <w:gridCol w:w="220"/>
        <w:gridCol w:w="441"/>
        <w:gridCol w:w="326"/>
        <w:gridCol w:w="211"/>
        <w:gridCol w:w="521"/>
        <w:gridCol w:w="326"/>
        <w:gridCol w:w="228"/>
        <w:gridCol w:w="621"/>
        <w:gridCol w:w="326"/>
        <w:gridCol w:w="211"/>
        <w:gridCol w:w="571"/>
        <w:gridCol w:w="326"/>
        <w:gridCol w:w="211"/>
        <w:gridCol w:w="571"/>
        <w:gridCol w:w="326"/>
        <w:gridCol w:w="215"/>
        <w:gridCol w:w="693"/>
      </w:tblGrid>
      <w:tr>
        <w:trPr/>
        <w:tc>
          <w:tcPr>
            <w:tcW w:w="35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244725" cy="175260"/>
                      <wp:effectExtent l="0" t="0" r="0" b="0"/>
                      <wp:wrapNone/>
                      <wp:docPr id="348" name="Frame347"/>
                      <a:graphic xmlns:a="http://schemas.openxmlformats.org/drawingml/2006/main">
                        <a:graphicData uri="http://schemas.microsoft.com/office/word/2010/wordprocessingShape">
                          <wps:wsp>
                            <wps:cNvSpPr txBox="1"/>
                            <wps:spPr>
                              <a:xfrm>
                                <a:off x="0" y="0"/>
                                <a:ext cx="2244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07010" cy="175260"/>
                      <wp:effectExtent l="0" t="0" r="0" b="0"/>
                      <wp:wrapNone/>
                      <wp:docPr id="349" name="Frame3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39700" cy="175260"/>
                      <wp:effectExtent l="0" t="0" r="0" b="0"/>
                      <wp:wrapNone/>
                      <wp:docPr id="350" name="Frame349"/>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80035" cy="175260"/>
                      <wp:effectExtent l="0" t="0" r="0" b="0"/>
                      <wp:wrapNone/>
                      <wp:docPr id="351" name="Frame350"/>
                      <a:graphic xmlns:a="http://schemas.openxmlformats.org/drawingml/2006/main">
                        <a:graphicData uri="http://schemas.microsoft.com/office/word/2010/wordprocessingShape">
                          <wps:wsp>
                            <wps:cNvSpPr txBox="1"/>
                            <wps:spPr>
                              <a:xfrm>
                                <a:off x="0" y="0"/>
                                <a:ext cx="280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07010" cy="175260"/>
                      <wp:effectExtent l="0" t="0" r="0" b="0"/>
                      <wp:wrapNone/>
                      <wp:docPr id="352" name="Frame3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33985" cy="175260"/>
                      <wp:effectExtent l="0" t="0" r="0" b="0"/>
                      <wp:wrapNone/>
                      <wp:docPr id="353" name="Frame3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330835" cy="175260"/>
                      <wp:effectExtent l="0" t="0" r="0" b="0"/>
                      <wp:wrapNone/>
                      <wp:docPr id="354" name="Frame353"/>
                      <a:graphic xmlns:a="http://schemas.openxmlformats.org/drawingml/2006/main">
                        <a:graphicData uri="http://schemas.microsoft.com/office/word/2010/wordprocessingShape">
                          <wps:wsp>
                            <wps:cNvSpPr txBox="1"/>
                            <wps:spPr>
                              <a:xfrm>
                                <a:off x="0" y="0"/>
                                <a:ext cx="330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07010" cy="175260"/>
                      <wp:effectExtent l="0" t="0" r="0" b="0"/>
                      <wp:wrapNone/>
                      <wp:docPr id="355" name="Frame3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44780" cy="175260"/>
                      <wp:effectExtent l="0" t="0" r="0" b="0"/>
                      <wp:wrapNone/>
                      <wp:docPr id="356" name="Frame355"/>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394335" cy="175260"/>
                      <wp:effectExtent l="0" t="0" r="0" b="0"/>
                      <wp:wrapNone/>
                      <wp:docPr id="357" name="Frame356"/>
                      <a:graphic xmlns:a="http://schemas.openxmlformats.org/drawingml/2006/main">
                        <a:graphicData uri="http://schemas.microsoft.com/office/word/2010/wordprocessingShape">
                          <wps:wsp>
                            <wps:cNvSpPr txBox="1"/>
                            <wps:spPr>
                              <a:xfrm>
                                <a:off x="0" y="0"/>
                                <a:ext cx="394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07010" cy="175260"/>
                      <wp:effectExtent l="0" t="0" r="0" b="0"/>
                      <wp:wrapNone/>
                      <wp:docPr id="358" name="Frame3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33985" cy="175260"/>
                      <wp:effectExtent l="0" t="0" r="0" b="0"/>
                      <wp:wrapNone/>
                      <wp:docPr id="359" name="Frame3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362585" cy="175260"/>
                      <wp:effectExtent l="0" t="0" r="0" b="0"/>
                      <wp:wrapNone/>
                      <wp:docPr id="360" name="Frame35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07010" cy="175260"/>
                      <wp:effectExtent l="0" t="0" r="0" b="0"/>
                      <wp:wrapNone/>
                      <wp:docPr id="361" name="Frame3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33985" cy="175260"/>
                      <wp:effectExtent l="0" t="0" r="0" b="0"/>
                      <wp:wrapNone/>
                      <wp:docPr id="362" name="Frame3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362585" cy="175260"/>
                      <wp:effectExtent l="0" t="0" r="0" b="0"/>
                      <wp:wrapNone/>
                      <wp:docPr id="363" name="Frame36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07010" cy="175260"/>
                      <wp:effectExtent l="0" t="0" r="0" b="0"/>
                      <wp:wrapNone/>
                      <wp:docPr id="364" name="Frame3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36525" cy="175260"/>
                      <wp:effectExtent l="0" t="0" r="0" b="0"/>
                      <wp:wrapNone/>
                      <wp:docPr id="365" name="Frame364"/>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440055" cy="175260"/>
                      <wp:effectExtent l="0" t="0" r="0" b="0"/>
                      <wp:wrapNone/>
                      <wp:docPr id="366" name="Frame365"/>
                      <a:graphic xmlns:a="http://schemas.openxmlformats.org/drawingml/2006/main">
                        <a:graphicData uri="http://schemas.microsoft.com/office/word/2010/wordprocessingShape">
                          <wps:wsp>
                            <wps:cNvSpPr txBox="1"/>
                            <wps:spPr>
                              <a:xfrm>
                                <a:off x="0" y="0"/>
                                <a:ext cx="440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35" w:type="dxa"/>
            <w:tcBorders/>
            <w:vAlign w:val="center"/>
          </w:tcPr>
          <w:p>
            <w:pPr>
              <w:pStyle w:val="TableContents"/>
              <w:bidi w:val="0"/>
              <w:spacing w:before="0" w:after="0"/>
              <w:ind w:left="0" w:right="0" w:hanging="0"/>
              <w:jc w:val="left"/>
              <w:rPr>
                <w:color w:val="231F20"/>
              </w:rPr>
            </w:pPr>
            <w:r>
              <w:rPr>
                <w:color w:val="231F20"/>
              </w:rPr>
              <w:t>​</w:t>
            </w:r>
          </w:p>
        </w:tc>
        <w:tc>
          <w:tcPr>
            <w:tcW w:w="326" w:type="dxa"/>
            <w:tcBorders/>
            <w:vAlign w:val="center"/>
          </w:tcPr>
          <w:p>
            <w:pPr>
              <w:pStyle w:val="TableContents"/>
              <w:bidi w:val="0"/>
              <w:spacing w:before="0" w:after="0"/>
              <w:ind w:left="0" w:right="0" w:hanging="0"/>
              <w:jc w:val="center"/>
              <w:rPr/>
            </w:pPr>
            <w:r>
              <w:rPr/>
              <w:t>​</w:t>
            </w:r>
          </w:p>
        </w:tc>
        <w:tc>
          <w:tcPr>
            <w:tcW w:w="2894" w:type="dxa"/>
            <w:gridSpan w:val="8"/>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 xml:space="preserve">Three Months Ended </w:t>
            </w:r>
          </w:p>
        </w:tc>
        <w:tc>
          <w:tcPr>
            <w:tcW w:w="326" w:type="dxa"/>
            <w:tcBorders/>
            <w:vAlign w:val="center"/>
          </w:tcPr>
          <w:p>
            <w:pPr>
              <w:pStyle w:val="TableContents"/>
              <w:bidi w:val="0"/>
              <w:spacing w:before="0" w:after="0"/>
              <w:ind w:left="0" w:right="0" w:hanging="0"/>
              <w:jc w:val="center"/>
              <w:rPr/>
            </w:pPr>
            <w:r>
              <w:rPr/>
              <w:t>​</w:t>
            </w:r>
          </w:p>
        </w:tc>
        <w:tc>
          <w:tcPr>
            <w:tcW w:w="3124" w:type="dxa"/>
            <w:gridSpan w:val="8"/>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 xml:space="preserve">Nine Months Ended </w:t>
            </w:r>
          </w:p>
        </w:tc>
      </w:tr>
      <w:tr>
        <w:trPr/>
        <w:tc>
          <w:tcPr>
            <w:tcW w:w="3535" w:type="dxa"/>
            <w:tcBorders/>
            <w:vAlign w:val="center"/>
          </w:tcPr>
          <w:p>
            <w:pPr>
              <w:pStyle w:val="TableContents"/>
              <w:bidi w:val="0"/>
              <w:spacing w:before="0" w:after="0"/>
              <w:ind w:left="0" w:right="0" w:hanging="0"/>
              <w:jc w:val="left"/>
              <w:rPr>
                <w:color w:val="231F20"/>
              </w:rPr>
            </w:pPr>
            <w:r>
              <w:rPr>
                <w:color w:val="231F20"/>
              </w:rPr>
              <w:t>​</w:t>
            </w:r>
          </w:p>
        </w:tc>
        <w:tc>
          <w:tcPr>
            <w:tcW w:w="326" w:type="dxa"/>
            <w:tcBorders/>
            <w:vAlign w:val="center"/>
          </w:tcPr>
          <w:p>
            <w:pPr>
              <w:pStyle w:val="TableContents"/>
              <w:bidi w:val="0"/>
              <w:spacing w:before="0" w:after="0"/>
              <w:ind w:left="0" w:right="0" w:hanging="0"/>
              <w:jc w:val="center"/>
              <w:rPr/>
            </w:pPr>
            <w:r>
              <w:rPr/>
              <w:t>​</w:t>
            </w:r>
          </w:p>
        </w:tc>
        <w:tc>
          <w:tcPr>
            <w:tcW w:w="289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September 30, 2025 vs. 2024</w:t>
            </w:r>
          </w:p>
        </w:tc>
        <w:tc>
          <w:tcPr>
            <w:tcW w:w="326" w:type="dxa"/>
            <w:tcBorders/>
            <w:vAlign w:val="center"/>
          </w:tcPr>
          <w:p>
            <w:pPr>
              <w:pStyle w:val="TableContents"/>
              <w:bidi w:val="0"/>
              <w:spacing w:before="0" w:after="0"/>
              <w:ind w:left="0" w:right="0" w:hanging="0"/>
              <w:jc w:val="center"/>
              <w:rPr/>
            </w:pPr>
            <w:r>
              <w:rPr/>
              <w:t>​</w:t>
            </w:r>
          </w:p>
        </w:tc>
        <w:tc>
          <w:tcPr>
            <w:tcW w:w="312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September 30, 2025 vs. 2024</w:t>
            </w:r>
          </w:p>
        </w:tc>
      </w:tr>
      <w:tr>
        <w:trPr/>
        <w:tc>
          <w:tcPr>
            <w:tcW w:w="3535" w:type="dxa"/>
            <w:tcBorders/>
            <w:vAlign w:val="center"/>
          </w:tcPr>
          <w:p>
            <w:pPr>
              <w:pStyle w:val="TableContents"/>
              <w:bidi w:val="0"/>
              <w:spacing w:before="0" w:after="0"/>
              <w:ind w:left="0" w:right="0" w:hanging="0"/>
              <w:jc w:val="left"/>
              <w:rPr>
                <w:color w:val="231F20"/>
              </w:rPr>
            </w:pPr>
            <w:r>
              <w:rPr>
                <w:color w:val="231F20"/>
              </w:rPr>
              <w:t>​</w:t>
            </w:r>
          </w:p>
        </w:tc>
        <w:tc>
          <w:tcPr>
            <w:tcW w:w="326" w:type="dxa"/>
            <w:tcBorders/>
            <w:vAlign w:val="center"/>
          </w:tcPr>
          <w:p>
            <w:pPr>
              <w:pStyle w:val="TableContents"/>
              <w:bidi w:val="0"/>
              <w:spacing w:before="0" w:after="0"/>
              <w:ind w:left="0" w:right="0" w:hanging="0"/>
              <w:jc w:val="center"/>
              <w:rPr/>
            </w:pPr>
            <w:r>
              <w:rPr/>
              <w:t>​</w:t>
            </w:r>
          </w:p>
        </w:tc>
        <w:tc>
          <w:tcPr>
            <w:tcW w:w="171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26" w:type="dxa"/>
            <w:tcBorders/>
            <w:vAlign w:val="center"/>
          </w:tcPr>
          <w:p>
            <w:pPr>
              <w:pStyle w:val="TableContents"/>
              <w:bidi w:val="0"/>
              <w:spacing w:before="0" w:after="0"/>
              <w:ind w:left="0" w:right="0" w:hanging="0"/>
              <w:jc w:val="center"/>
              <w:rPr/>
            </w:pPr>
            <w:r>
              <w:rPr/>
              <w:t>​</w:t>
            </w:r>
          </w:p>
        </w:tc>
        <w:tc>
          <w:tcPr>
            <w:tcW w:w="84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0"/>
              <w:ind w:left="0" w:right="0" w:hanging="0"/>
              <w:jc w:val="center"/>
              <w:rPr/>
            </w:pPr>
            <w:r>
              <w:rPr/>
              <w:t>​</w:t>
            </w:r>
          </w:p>
        </w:tc>
        <w:tc>
          <w:tcPr>
            <w:tcW w:w="189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26" w:type="dxa"/>
            <w:tcBorders/>
            <w:vAlign w:val="center"/>
          </w:tcPr>
          <w:p>
            <w:pPr>
              <w:pStyle w:val="TableContents"/>
              <w:bidi w:val="0"/>
              <w:spacing w:before="0" w:after="0"/>
              <w:ind w:left="0" w:right="0" w:hanging="0"/>
              <w:jc w:val="center"/>
              <w:rPr/>
            </w:pPr>
            <w:r>
              <w:rPr/>
              <w:t>​</w:t>
            </w:r>
          </w:p>
        </w:tc>
        <w:tc>
          <w:tcPr>
            <w:tcW w:w="90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535" w:type="dxa"/>
            <w:tcBorders/>
            <w:vAlign w:val="center"/>
          </w:tcPr>
          <w:p>
            <w:pPr>
              <w:pStyle w:val="TableContents"/>
              <w:bidi w:val="0"/>
              <w:spacing w:before="0" w:after="0"/>
              <w:ind w:left="0" w:right="0" w:hanging="0"/>
              <w:jc w:val="left"/>
              <w:rPr>
                <w:color w:val="231F20"/>
              </w:rPr>
            </w:pPr>
            <w:r>
              <w:rPr>
                <w:color w:val="231F20"/>
              </w:rPr>
              <w:t>​</w:t>
            </w:r>
          </w:p>
        </w:tc>
        <w:tc>
          <w:tcPr>
            <w:tcW w:w="326" w:type="dxa"/>
            <w:tcBorders/>
            <w:vAlign w:val="center"/>
          </w:tcPr>
          <w:p>
            <w:pPr>
              <w:pStyle w:val="TableContents"/>
              <w:bidi w:val="0"/>
              <w:spacing w:before="0" w:after="0"/>
              <w:ind w:left="0" w:right="0" w:hanging="0"/>
              <w:jc w:val="center"/>
              <w:rPr/>
            </w:pPr>
            <w:r>
              <w:rPr/>
              <w:t>​</w:t>
            </w:r>
          </w:p>
        </w:tc>
        <w:tc>
          <w:tcPr>
            <w:tcW w:w="171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26" w:type="dxa"/>
            <w:tcBorders/>
            <w:vAlign w:val="center"/>
          </w:tcPr>
          <w:p>
            <w:pPr>
              <w:pStyle w:val="TableContents"/>
              <w:bidi w:val="0"/>
              <w:spacing w:before="0" w:after="0"/>
              <w:ind w:left="0" w:right="0" w:hanging="0"/>
              <w:jc w:val="center"/>
              <w:rPr/>
            </w:pPr>
            <w:r>
              <w:rPr/>
              <w:t>​</w:t>
            </w:r>
          </w:p>
        </w:tc>
        <w:tc>
          <w:tcPr>
            <w:tcW w:w="84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26" w:type="dxa"/>
            <w:tcBorders/>
            <w:vAlign w:val="center"/>
          </w:tcPr>
          <w:p>
            <w:pPr>
              <w:pStyle w:val="TableContents"/>
              <w:bidi w:val="0"/>
              <w:spacing w:before="0" w:after="0"/>
              <w:ind w:left="0" w:right="0" w:hanging="0"/>
              <w:jc w:val="center"/>
              <w:rPr/>
            </w:pPr>
            <w:r>
              <w:rPr/>
              <w:t>​</w:t>
            </w:r>
          </w:p>
        </w:tc>
        <w:tc>
          <w:tcPr>
            <w:tcW w:w="189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26" w:type="dxa"/>
            <w:tcBorders/>
            <w:vAlign w:val="center"/>
          </w:tcPr>
          <w:p>
            <w:pPr>
              <w:pStyle w:val="TableContents"/>
              <w:bidi w:val="0"/>
              <w:spacing w:before="0" w:after="0"/>
              <w:ind w:left="0" w:right="0" w:hanging="0"/>
              <w:jc w:val="center"/>
              <w:rPr/>
            </w:pPr>
            <w:r>
              <w:rPr/>
              <w:t>​</w:t>
            </w:r>
          </w:p>
        </w:tc>
        <w:tc>
          <w:tcPr>
            <w:tcW w:w="90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r>
      <w:tr>
        <w:trPr/>
        <w:tc>
          <w:tcPr>
            <w:tcW w:w="3535" w:type="dxa"/>
            <w:tcBorders/>
            <w:vAlign w:val="center"/>
          </w:tcPr>
          <w:p>
            <w:pPr>
              <w:pStyle w:val="TableContents"/>
              <w:bidi w:val="0"/>
              <w:spacing w:before="0" w:after="0"/>
              <w:ind w:left="0" w:right="0" w:hanging="0"/>
              <w:jc w:val="left"/>
              <w:rPr>
                <w:color w:val="231F20"/>
              </w:rPr>
            </w:pPr>
            <w:r>
              <w:rPr>
                <w:color w:val="231F20"/>
              </w:rPr>
              <w:t>​</w:t>
            </w:r>
          </w:p>
        </w:tc>
        <w:tc>
          <w:tcPr>
            <w:tcW w:w="326" w:type="dxa"/>
            <w:tcBorders/>
            <w:vAlign w:val="center"/>
          </w:tcPr>
          <w:p>
            <w:pPr>
              <w:pStyle w:val="TableContents"/>
              <w:bidi w:val="0"/>
              <w:spacing w:before="0" w:after="0"/>
              <w:ind w:left="0" w:right="0" w:hanging="0"/>
              <w:jc w:val="center"/>
              <w:rPr/>
            </w:pPr>
            <w:r>
              <w:rPr/>
              <w:t>​</w:t>
            </w:r>
          </w:p>
        </w:tc>
        <w:tc>
          <w:tcPr>
            <w:tcW w:w="171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Due to</w:t>
            </w:r>
          </w:p>
        </w:tc>
        <w:tc>
          <w:tcPr>
            <w:tcW w:w="326" w:type="dxa"/>
            <w:tcBorders/>
            <w:vAlign w:val="center"/>
          </w:tcPr>
          <w:p>
            <w:pPr>
              <w:pStyle w:val="TableContents"/>
              <w:bidi w:val="0"/>
              <w:spacing w:before="0" w:after="0"/>
              <w:ind w:left="0" w:right="0" w:hanging="0"/>
              <w:jc w:val="center"/>
              <w:rPr/>
            </w:pPr>
            <w:r>
              <w:rPr/>
              <w:t>​</w:t>
            </w:r>
          </w:p>
        </w:tc>
        <w:tc>
          <w:tcPr>
            <w:tcW w:w="8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26" w:type="dxa"/>
            <w:tcBorders/>
            <w:vAlign w:val="center"/>
          </w:tcPr>
          <w:p>
            <w:pPr>
              <w:pStyle w:val="TableContents"/>
              <w:bidi w:val="0"/>
              <w:spacing w:before="0" w:after="0"/>
              <w:ind w:left="0" w:right="0" w:hanging="0"/>
              <w:jc w:val="center"/>
              <w:rPr/>
            </w:pPr>
            <w:r>
              <w:rPr/>
              <w:t>​</w:t>
            </w:r>
          </w:p>
        </w:tc>
        <w:tc>
          <w:tcPr>
            <w:tcW w:w="18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Due to</w:t>
            </w:r>
          </w:p>
        </w:tc>
        <w:tc>
          <w:tcPr>
            <w:tcW w:w="326" w:type="dxa"/>
            <w:tcBorders/>
            <w:vAlign w:val="center"/>
          </w:tcPr>
          <w:p>
            <w:pPr>
              <w:pStyle w:val="TableContents"/>
              <w:bidi w:val="0"/>
              <w:spacing w:before="0" w:after="0"/>
              <w:ind w:left="0" w:right="0" w:hanging="0"/>
              <w:jc w:val="center"/>
              <w:rPr/>
            </w:pPr>
            <w:r>
              <w:rPr/>
              <w:t>​</w:t>
            </w:r>
          </w:p>
        </w:tc>
        <w:tc>
          <w:tcPr>
            <w:tcW w:w="9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r>
      <w:tr>
        <w:trPr/>
        <w:tc>
          <w:tcPr>
            <w:tcW w:w="3535" w:type="dxa"/>
            <w:tcBorders/>
            <w:vAlign w:val="center"/>
          </w:tcPr>
          <w:p>
            <w:pPr>
              <w:pStyle w:val="TableContents"/>
              <w:bidi w:val="0"/>
              <w:spacing w:before="0" w:after="0"/>
              <w:ind w:left="0" w:right="0" w:hanging="0"/>
              <w:jc w:val="left"/>
              <w:rPr>
                <w:color w:val="231F20"/>
              </w:rPr>
            </w:pPr>
            <w:r>
              <w:rPr>
                <w:color w:val="231F20"/>
              </w:rPr>
              <w:t>​</w:t>
            </w:r>
          </w:p>
        </w:tc>
        <w:tc>
          <w:tcPr>
            <w:tcW w:w="326" w:type="dxa"/>
            <w:tcBorders/>
            <w:vAlign w:val="center"/>
          </w:tcPr>
          <w:p>
            <w:pPr>
              <w:pStyle w:val="TableContents"/>
              <w:bidi w:val="0"/>
              <w:spacing w:before="0" w:after="0"/>
              <w:ind w:left="0" w:right="0" w:hanging="0"/>
              <w:jc w:val="center"/>
              <w:rPr/>
            </w:pPr>
            <w:r>
              <w:rPr/>
              <w:t>    </w:t>
            </w:r>
          </w:p>
        </w:tc>
        <w:tc>
          <w:tcPr>
            <w:tcW w:w="6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Volume</w:t>
            </w:r>
          </w:p>
        </w:tc>
        <w:tc>
          <w:tcPr>
            <w:tcW w:w="326" w:type="dxa"/>
            <w:tcBorders/>
            <w:vAlign w:val="center"/>
          </w:tcPr>
          <w:p>
            <w:pPr>
              <w:pStyle w:val="TableContents"/>
              <w:bidi w:val="0"/>
              <w:spacing w:before="0" w:after="0"/>
              <w:ind w:left="0" w:right="0" w:hanging="0"/>
              <w:jc w:val="center"/>
              <w:rPr/>
            </w:pPr>
            <w:r>
              <w:rPr/>
              <w:t>    </w:t>
            </w:r>
          </w:p>
        </w:tc>
        <w:tc>
          <w:tcPr>
            <w:tcW w:w="7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26" w:type="dxa"/>
            <w:tcBorders/>
            <w:vAlign w:val="center"/>
          </w:tcPr>
          <w:p>
            <w:pPr>
              <w:pStyle w:val="TableContents"/>
              <w:bidi w:val="0"/>
              <w:spacing w:before="0" w:after="0"/>
              <w:ind w:left="0" w:right="0" w:hanging="0"/>
              <w:jc w:val="center"/>
              <w:rPr/>
            </w:pPr>
            <w:r>
              <w:rPr/>
              <w:t>    </w:t>
            </w:r>
          </w:p>
        </w:tc>
        <w:tc>
          <w:tcPr>
            <w:tcW w:w="228" w:type="dxa"/>
            <w:tcBorders/>
            <w:vAlign w:val="center"/>
          </w:tcPr>
          <w:p>
            <w:pPr>
              <w:pStyle w:val="TableContents"/>
              <w:bidi w:val="0"/>
              <w:spacing w:before="0" w:after="0"/>
              <w:ind w:left="0" w:right="0" w:hanging="0"/>
              <w:jc w:val="center"/>
              <w:rPr/>
            </w:pPr>
            <w:r>
              <w:rPr/>
              <w:t>​</w:t>
            </w:r>
          </w:p>
        </w:tc>
        <w:tc>
          <w:tcPr>
            <w:tcW w:w="6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Volume</w:t>
            </w:r>
          </w:p>
        </w:tc>
        <w:tc>
          <w:tcPr>
            <w:tcW w:w="326" w:type="dxa"/>
            <w:tcBorders/>
            <w:vAlign w:val="center"/>
          </w:tcPr>
          <w:p>
            <w:pPr>
              <w:pStyle w:val="TableContents"/>
              <w:bidi w:val="0"/>
              <w:spacing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26" w:type="dxa"/>
            <w:tcBorders/>
            <w:vAlign w:val="center"/>
          </w:tcPr>
          <w:p>
            <w:pPr>
              <w:pStyle w:val="TableContents"/>
              <w:bidi w:val="0"/>
              <w:spacing w:before="0" w:after="0"/>
              <w:ind w:left="0" w:right="0" w:hanging="0"/>
              <w:jc w:val="center"/>
              <w:rPr/>
            </w:pPr>
            <w:r>
              <w:rPr/>
              <w:t>    </w:t>
            </w:r>
          </w:p>
        </w:tc>
        <w:tc>
          <w:tcPr>
            <w:tcW w:w="215" w:type="dxa"/>
            <w:tcBorders/>
            <w:vAlign w:val="center"/>
          </w:tcPr>
          <w:p>
            <w:pPr>
              <w:pStyle w:val="TableContents"/>
              <w:bidi w:val="0"/>
              <w:spacing w:before="0" w:after="0"/>
              <w:ind w:left="0" w:right="0" w:hanging="0"/>
              <w:jc w:val="center"/>
              <w:rPr/>
            </w:pPr>
            <w:r>
              <w:rPr/>
              <w:t>​</w:t>
            </w:r>
          </w:p>
        </w:tc>
        <w:tc>
          <w:tcPr>
            <w:tcW w:w="693" w:type="dxa"/>
            <w:tcBorders/>
            <w:vAlign w:val="center"/>
          </w:tcPr>
          <w:p>
            <w:pPr>
              <w:pStyle w:val="TableContents"/>
              <w:bidi w:val="0"/>
              <w:spacing w:before="0" w:after="0"/>
              <w:ind w:left="0" w:right="0" w:hanging="0"/>
              <w:jc w:val="center"/>
              <w:rPr/>
            </w:pPr>
            <w:r>
              <w:rPr/>
              <w:t>​</w:t>
            </w:r>
          </w:p>
        </w:tc>
      </w:tr>
      <w:tr>
        <w:trPr/>
        <w:tc>
          <w:tcPr>
            <w:tcW w:w="10205"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3535" w:type="dxa"/>
            <w:tcBorders/>
            <w:vAlign w:val="center"/>
          </w:tcPr>
          <w:p>
            <w:pPr>
              <w:pStyle w:val="TableContents"/>
              <w:bidi w:val="0"/>
              <w:spacing w:before="0" w:after="0"/>
              <w:ind w:left="0" w:right="0" w:hanging="0"/>
              <w:jc w:val="left"/>
              <w:rPr>
                <w:color w:val="231F20"/>
              </w:rPr>
            </w:pPr>
            <w:r>
              <w:rPr>
                <w:color w:val="231F20"/>
              </w:rPr>
              <w:t>​</w:t>
            </w:r>
          </w:p>
        </w:tc>
        <w:tc>
          <w:tcPr>
            <w:tcW w:w="326" w:type="dxa"/>
            <w:tcBorders/>
            <w:vAlign w:val="center"/>
          </w:tcPr>
          <w:p>
            <w:pPr>
              <w:pStyle w:val="TableContents"/>
              <w:bidi w:val="0"/>
              <w:spacing w:before="0" w:after="0"/>
              <w:ind w:left="0" w:right="0" w:hanging="0"/>
              <w:jc w:val="center"/>
              <w:rPr/>
            </w:pPr>
            <w:r>
              <w:rPr/>
              <w:t>​</w:t>
            </w:r>
          </w:p>
        </w:tc>
        <w:tc>
          <w:tcPr>
            <w:tcW w:w="6344" w:type="dxa"/>
            <w:gridSpan w:val="1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r>
      <w:tr>
        <w:trPr/>
        <w:tc>
          <w:tcPr>
            <w:tcW w:w="3535" w:type="dxa"/>
            <w:tcBorders/>
            <w:shd w:fill="CCEEFF" w:val="clear"/>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Interest-earning assets:</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4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6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left"/>
              <w:rPr/>
            </w:pPr>
            <w:r>
              <w:rPr/>
              <w:t>​</w:t>
            </w:r>
          </w:p>
        </w:tc>
      </w:tr>
      <w:tr>
        <w:trPr/>
        <w:tc>
          <w:tcPr>
            <w:tcW w:w="3535"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Loans</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44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627</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52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497</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62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1,124</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1,903</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1,652</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5"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693"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3,555</w:t>
            </w:r>
          </w:p>
        </w:tc>
      </w:tr>
      <w:tr>
        <w:trPr/>
        <w:tc>
          <w:tcPr>
            <w:tcW w:w="3535"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Certificates of deposit with other financial institutions</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20"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44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52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28"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62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(6)</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5"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693"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(11)</w:t>
            </w:r>
          </w:p>
        </w:tc>
      </w:tr>
      <w:tr>
        <w:trPr/>
        <w:tc>
          <w:tcPr>
            <w:tcW w:w="3535"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Interest-bearing cash and cash equivalents</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20" w:type="dxa"/>
            <w:tcBorders/>
            <w:vAlign w:val="center"/>
          </w:tcPr>
          <w:p>
            <w:pPr>
              <w:pStyle w:val="TableContents"/>
              <w:bidi w:val="0"/>
              <w:spacing w:before="0" w:after="0"/>
              <w:ind w:left="0" w:right="0" w:hanging="0"/>
              <w:jc w:val="left"/>
              <w:rPr>
                <w:color w:val="231F20"/>
              </w:rPr>
            </w:pPr>
            <w:r>
              <w:rPr>
                <w:color w:val="231F20"/>
              </w:rPr>
              <w:t> </w:t>
            </w:r>
          </w:p>
        </w:tc>
        <w:tc>
          <w:tcPr>
            <w:tcW w:w="44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52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(80)</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28" w:type="dxa"/>
            <w:tcBorders/>
            <w:vAlign w:val="center"/>
          </w:tcPr>
          <w:p>
            <w:pPr>
              <w:pStyle w:val="TableContents"/>
              <w:bidi w:val="0"/>
              <w:spacing w:before="0" w:after="0"/>
              <w:ind w:left="0" w:right="0" w:hanging="0"/>
              <w:jc w:val="left"/>
              <w:rPr>
                <w:color w:val="231F20"/>
              </w:rPr>
            </w:pPr>
            <w:r>
              <w:rPr>
                <w:color w:val="231F20"/>
              </w:rPr>
              <w:t> </w:t>
            </w:r>
          </w:p>
        </w:tc>
        <w:tc>
          <w:tcPr>
            <w:tcW w:w="62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(73)</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24</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(126)</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5" w:type="dxa"/>
            <w:tcBorders/>
            <w:vAlign w:val="center"/>
          </w:tcPr>
          <w:p>
            <w:pPr>
              <w:pStyle w:val="TableContents"/>
              <w:bidi w:val="0"/>
              <w:spacing w:before="0" w:after="0"/>
              <w:ind w:left="0" w:right="0" w:hanging="0"/>
              <w:jc w:val="left"/>
              <w:rPr>
                <w:color w:val="231F20"/>
              </w:rPr>
            </w:pPr>
            <w:r>
              <w:rPr>
                <w:color w:val="231F20"/>
              </w:rPr>
              <w:t> </w:t>
            </w:r>
          </w:p>
        </w:tc>
        <w:tc>
          <w:tcPr>
            <w:tcW w:w="693"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(102)</w:t>
            </w:r>
          </w:p>
        </w:tc>
      </w:tr>
      <w:tr>
        <w:trPr/>
        <w:tc>
          <w:tcPr>
            <w:tcW w:w="3535"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Investment securities available-for-sale</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20"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44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(91)</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52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(74)</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28"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62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(165)</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(285)</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(256)</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5"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693"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(541)</w:t>
            </w:r>
          </w:p>
        </w:tc>
      </w:tr>
      <w:tr>
        <w:trPr/>
        <w:tc>
          <w:tcPr>
            <w:tcW w:w="3535"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Investment securities held-to-maturity</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20" w:type="dxa"/>
            <w:tcBorders/>
            <w:vAlign w:val="center"/>
          </w:tcPr>
          <w:p>
            <w:pPr>
              <w:pStyle w:val="TableContents"/>
              <w:bidi w:val="0"/>
              <w:spacing w:before="0" w:after="0"/>
              <w:ind w:left="0" w:right="0" w:hanging="0"/>
              <w:jc w:val="left"/>
              <w:rPr>
                <w:color w:val="231F20"/>
              </w:rPr>
            </w:pPr>
            <w:r>
              <w:rPr>
                <w:color w:val="231F20"/>
              </w:rPr>
              <w:t> </w:t>
            </w:r>
          </w:p>
        </w:tc>
        <w:tc>
          <w:tcPr>
            <w:tcW w:w="44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(57)</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52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(23)</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28" w:type="dxa"/>
            <w:tcBorders/>
            <w:vAlign w:val="center"/>
          </w:tcPr>
          <w:p>
            <w:pPr>
              <w:pStyle w:val="TableContents"/>
              <w:bidi w:val="0"/>
              <w:spacing w:before="0" w:after="0"/>
              <w:ind w:left="0" w:right="0" w:hanging="0"/>
              <w:jc w:val="left"/>
              <w:rPr>
                <w:color w:val="231F20"/>
              </w:rPr>
            </w:pPr>
            <w:r>
              <w:rPr>
                <w:color w:val="231F20"/>
              </w:rPr>
              <w:t> </w:t>
            </w:r>
          </w:p>
        </w:tc>
        <w:tc>
          <w:tcPr>
            <w:tcW w:w="62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(80)</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(278)</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(92)</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5" w:type="dxa"/>
            <w:tcBorders/>
            <w:vAlign w:val="center"/>
          </w:tcPr>
          <w:p>
            <w:pPr>
              <w:pStyle w:val="TableContents"/>
              <w:bidi w:val="0"/>
              <w:spacing w:before="0" w:after="0"/>
              <w:ind w:left="0" w:right="0" w:hanging="0"/>
              <w:jc w:val="left"/>
              <w:rPr>
                <w:color w:val="231F20"/>
              </w:rPr>
            </w:pPr>
            <w:r>
              <w:rPr>
                <w:color w:val="231F20"/>
              </w:rPr>
              <w:t> </w:t>
            </w:r>
          </w:p>
        </w:tc>
        <w:tc>
          <w:tcPr>
            <w:tcW w:w="693"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(370)</w:t>
            </w:r>
          </w:p>
        </w:tc>
      </w:tr>
      <w:tr>
        <w:trPr/>
        <w:tc>
          <w:tcPr>
            <w:tcW w:w="3535"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FHLB of Chicago stock and Bankers’ Bank stock</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4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12</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5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6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11</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14</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(6)</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6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8</w:t>
            </w:r>
          </w:p>
        </w:tc>
      </w:tr>
      <w:tr>
        <w:trPr/>
        <w:tc>
          <w:tcPr>
            <w:tcW w:w="3535"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Total interest-earning assets</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44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495</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52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320</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62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815</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1,372</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1,167</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5"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693"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2,539</w:t>
            </w:r>
          </w:p>
        </w:tc>
      </w:tr>
      <w:tr>
        <w:trPr/>
        <w:tc>
          <w:tcPr>
            <w:tcW w:w="3535" w:type="dxa"/>
            <w:tcBorders/>
            <w:shd w:fill="CCEEFF" w:val="clear"/>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Interest-bearing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44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2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 </w:t>
            </w:r>
          </w:p>
        </w:tc>
        <w:tc>
          <w:tcPr>
            <w:tcW w:w="62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693" w:type="dxa"/>
            <w:tcBorders/>
            <w:shd w:fill="CCEEFF" w:val="clear"/>
            <w:vAlign w:val="center"/>
          </w:tcPr>
          <w:p>
            <w:pPr>
              <w:pStyle w:val="TableContents"/>
              <w:bidi w:val="0"/>
              <w:spacing w:before="0" w:after="0"/>
              <w:ind w:left="0" w:right="0" w:hanging="0"/>
              <w:jc w:val="right"/>
              <w:rPr/>
            </w:pPr>
            <w:r>
              <w:rPr/>
              <w:t>  </w:t>
            </w:r>
          </w:p>
        </w:tc>
      </w:tr>
      <w:tr>
        <w:trPr/>
        <w:tc>
          <w:tcPr>
            <w:tcW w:w="3535"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Savings accounts</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20" w:type="dxa"/>
            <w:tcBorders/>
            <w:vAlign w:val="center"/>
          </w:tcPr>
          <w:p>
            <w:pPr>
              <w:pStyle w:val="TableContents"/>
              <w:bidi w:val="0"/>
              <w:spacing w:before="0" w:after="0"/>
              <w:ind w:left="0" w:right="0" w:hanging="0"/>
              <w:jc w:val="left"/>
              <w:rPr>
                <w:color w:val="231F20"/>
              </w:rPr>
            </w:pPr>
            <w:r>
              <w:rPr>
                <w:color w:val="231F20"/>
              </w:rPr>
              <w:t> </w:t>
            </w:r>
          </w:p>
        </w:tc>
        <w:tc>
          <w:tcPr>
            <w:tcW w:w="44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52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12</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28" w:type="dxa"/>
            <w:tcBorders/>
            <w:vAlign w:val="center"/>
          </w:tcPr>
          <w:p>
            <w:pPr>
              <w:pStyle w:val="TableContents"/>
              <w:bidi w:val="0"/>
              <w:spacing w:before="0" w:after="0"/>
              <w:ind w:left="0" w:right="0" w:hanging="0"/>
              <w:jc w:val="left"/>
              <w:rPr>
                <w:color w:val="231F20"/>
              </w:rPr>
            </w:pPr>
            <w:r>
              <w:rPr>
                <w:color w:val="231F20"/>
              </w:rPr>
              <w:t> </w:t>
            </w:r>
          </w:p>
        </w:tc>
        <w:tc>
          <w:tcPr>
            <w:tcW w:w="62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9</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42</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5" w:type="dxa"/>
            <w:tcBorders/>
            <w:vAlign w:val="center"/>
          </w:tcPr>
          <w:p>
            <w:pPr>
              <w:pStyle w:val="TableContents"/>
              <w:bidi w:val="0"/>
              <w:spacing w:before="0" w:after="0"/>
              <w:ind w:left="0" w:right="0" w:hanging="0"/>
              <w:jc w:val="left"/>
              <w:rPr>
                <w:color w:val="231F20"/>
              </w:rPr>
            </w:pPr>
            <w:r>
              <w:rPr>
                <w:color w:val="231F20"/>
              </w:rPr>
              <w:t> </w:t>
            </w:r>
          </w:p>
        </w:tc>
        <w:tc>
          <w:tcPr>
            <w:tcW w:w="693"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32</w:t>
            </w:r>
          </w:p>
        </w:tc>
      </w:tr>
      <w:tr>
        <w:trPr/>
        <w:tc>
          <w:tcPr>
            <w:tcW w:w="3535"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Checking accounts</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20"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44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52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(8)</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28"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62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(20)</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5"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693"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(17)</w:t>
            </w:r>
          </w:p>
        </w:tc>
      </w:tr>
      <w:tr>
        <w:trPr/>
        <w:tc>
          <w:tcPr>
            <w:tcW w:w="3535"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Money market accounts</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20" w:type="dxa"/>
            <w:tcBorders/>
            <w:vAlign w:val="center"/>
          </w:tcPr>
          <w:p>
            <w:pPr>
              <w:pStyle w:val="TableContents"/>
              <w:bidi w:val="0"/>
              <w:spacing w:before="0" w:after="0"/>
              <w:ind w:left="0" w:right="0" w:hanging="0"/>
              <w:jc w:val="left"/>
              <w:rPr>
                <w:color w:val="231F20"/>
              </w:rPr>
            </w:pPr>
            <w:r>
              <w:rPr>
                <w:color w:val="231F20"/>
              </w:rPr>
              <w:t> </w:t>
            </w:r>
          </w:p>
        </w:tc>
        <w:tc>
          <w:tcPr>
            <w:tcW w:w="44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52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28" w:type="dxa"/>
            <w:tcBorders/>
            <w:vAlign w:val="center"/>
          </w:tcPr>
          <w:p>
            <w:pPr>
              <w:pStyle w:val="TableContents"/>
              <w:bidi w:val="0"/>
              <w:spacing w:before="0" w:after="0"/>
              <w:ind w:left="0" w:right="0" w:hanging="0"/>
              <w:jc w:val="left"/>
              <w:rPr>
                <w:color w:val="231F20"/>
              </w:rPr>
            </w:pPr>
            <w:r>
              <w:rPr>
                <w:color w:val="231F20"/>
              </w:rPr>
              <w:t> </w:t>
            </w:r>
          </w:p>
        </w:tc>
        <w:tc>
          <w:tcPr>
            <w:tcW w:w="62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13</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49</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5" w:type="dxa"/>
            <w:tcBorders/>
            <w:vAlign w:val="center"/>
          </w:tcPr>
          <w:p>
            <w:pPr>
              <w:pStyle w:val="TableContents"/>
              <w:bidi w:val="0"/>
              <w:spacing w:before="0" w:after="0"/>
              <w:ind w:left="0" w:right="0" w:hanging="0"/>
              <w:jc w:val="left"/>
              <w:rPr>
                <w:color w:val="231F20"/>
              </w:rPr>
            </w:pPr>
            <w:r>
              <w:rPr>
                <w:color w:val="231F20"/>
              </w:rPr>
              <w:t> </w:t>
            </w:r>
          </w:p>
        </w:tc>
        <w:tc>
          <w:tcPr>
            <w:tcW w:w="693"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50</w:t>
            </w:r>
          </w:p>
        </w:tc>
      </w:tr>
      <w:tr>
        <w:trPr/>
        <w:tc>
          <w:tcPr>
            <w:tcW w:w="3535"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Certificates of deposit</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4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92</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5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(329)</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6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(237)</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337</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(900)</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olor w:val="231F20"/>
              </w:rPr>
            </w:pPr>
            <w:r>
              <w:rPr>
                <w:color w:val="231F20"/>
              </w:rPr>
              <w:t> </w:t>
            </w:r>
          </w:p>
        </w:tc>
        <w:tc>
          <w:tcPr>
            <w:tcW w:w="6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(563)</w:t>
            </w:r>
          </w:p>
        </w:tc>
      </w:tr>
      <w:tr>
        <w:trPr/>
        <w:tc>
          <w:tcPr>
            <w:tcW w:w="3535"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Total interest-bearing liabilities</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4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93</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5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(315)</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6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(222)</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331</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(829)</w:t>
            </w:r>
          </w:p>
        </w:tc>
        <w:tc>
          <w:tcPr>
            <w:tcW w:w="326" w:type="dxa"/>
            <w:tcBorders/>
            <w:vAlign w:val="center"/>
          </w:tcPr>
          <w:p>
            <w:pPr>
              <w:pStyle w:val="TableContents"/>
              <w:bidi w:val="0"/>
              <w:spacing w:before="0" w:after="0"/>
              <w:ind w:left="0" w:right="0" w:hanging="0"/>
              <w:jc w:val="left"/>
              <w:rPr>
                <w:color w:val="231F20"/>
              </w:rPr>
            </w:pPr>
            <w:r>
              <w:rPr>
                <w:color w:val="231F20"/>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6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(498)</w:t>
            </w:r>
          </w:p>
        </w:tc>
      </w:tr>
      <w:tr>
        <w:trPr/>
        <w:tc>
          <w:tcPr>
            <w:tcW w:w="3535"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Change in net interest income</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4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402</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5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635</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6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1,037</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1,041</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1,996</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69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color w:val="231F20"/>
                <w:sz w:val="20"/>
              </w:rPr>
            </w:pPr>
            <w:r>
              <w:rPr>
                <w:rFonts w:ascii="Times New Roman;Times;serif" w:hAnsi="Times New Roman;Times;serif"/>
                <w:color w:val="231F20"/>
                <w:sz w:val="20"/>
              </w:rPr>
              <w:t>3,037</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Comparison of Operating Results for Three Months Ended September 30, 2025 and September 30,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 xml:space="preserve">General. </w:t>
      </w:r>
      <w:r>
        <w:rPr>
          <w:rFonts w:ascii="Times New Roman;Times;serif" w:hAnsi="Times New Roman;Times;serif"/>
          <w:sz w:val="20"/>
        </w:rPr>
        <w:t>For the three months ended September 30, 2025 compared to the same period in 2024, net loss decreased $467,000 or 117.5%, to a net income of $70,000 for the three months ended September 30, 2025 compared to a net loss of $397,000 for the same period in 2024. The primary reasons for the increase in net income was an increase of $815,000 in total interest income and a decrease in interest expense on deposits of $222,000 offset by a decrease of $50,000 in noninterest income, an increase of $230,000 in noninterest expense and an increase of $18,000 in provision for credit losses.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 xml:space="preserve">Interest Income. </w:t>
      </w:r>
      <w:r>
        <w:rPr>
          <w:rFonts w:ascii="Times New Roman;Times;serif" w:hAnsi="Times New Roman;Times;serif"/>
          <w:sz w:val="20"/>
        </w:rPr>
        <w:t>Interest income increased $815,000, or 19.5%, to $5.0 million for the three months ended September 30, 2025 compared to $4.2 million for the same period in 2024. The increase in interest income was due to an $1.1 million increase in interest income on loans receivable as a result of the growth in the commercial loan portfolio. The increase was partially offset by a $245,000 decrease in interest income on investment securities due to a decrease in account balances. Other interest income decreased by $65,000. The excess liquidity generated from the decrease in investment and cash account balances was used to fund the growth in the commercial loan portfolio</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 xml:space="preserve">Interest Expense on Deposits. </w:t>
      </w:r>
      <w:r>
        <w:rPr>
          <w:rFonts w:ascii="Times New Roman;Times;serif" w:hAnsi="Times New Roman;Times;serif"/>
          <w:sz w:val="20"/>
        </w:rPr>
        <w:t>Interest expense on deposits decreased $222,000, or 12.3%, to $1.6 million for the three months ended September 30, 2025 compared to $1.8 million for the three months ended September 30, 2024. The decrease was primarily caused by lower interest rates on certain accounts as deposits remained relatively unchanged.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Provision for Credit Losses.</w:t>
      </w:r>
      <w:r>
        <w:rPr>
          <w:rFonts w:ascii="Times New Roman;Times;serif" w:hAnsi="Times New Roman;Times;serif"/>
          <w:sz w:val="20"/>
        </w:rPr>
        <w:t xml:space="preserve"> The provision for credit losses increased $18,000, or 15.4%, to $135,000 for the three months ended September 31, 2025 from $117,000 for the same period in 2024. The increase was related to the increase in the commercial loan portfolio.</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 xml:space="preserve">Tax Expense (benefit). </w:t>
      </w:r>
      <w:r>
        <w:rPr>
          <w:rFonts w:ascii="Times New Roman;Times;serif" w:hAnsi="Times New Roman;Times;serif"/>
          <w:sz w:val="20"/>
        </w:rPr>
        <w:t>Tax expense (benefit) decreased $272,000, or 110.3%, to an income tax expense of $26,000 for the three months ended September 30, 2025, from a $247,000 income tax benefit for the same period in 2024. The major factor in the decrease was the net income before taxes for the three months ended September 30, 2025 compared to the same period in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Comparison of Operating Results for Nine Months Ended September 30, 2025 and September 30,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 xml:space="preserve">General. </w:t>
      </w:r>
      <w:r>
        <w:rPr>
          <w:rFonts w:ascii="Times New Roman;Times;serif" w:hAnsi="Times New Roman;Times;serif"/>
          <w:sz w:val="20"/>
        </w:rPr>
        <w:t>For the nine months ended September 30, 2025 compared to the same period in 2024, net loss decreased $1.6 million or 102.0%, to a net income of $31,000 for the nine months ended September 30, 2025 compared to a net loss of $1.5 million for the same period in 2024. The primary reasons for the decrease in net loss was an increase of $2.5 million in total interest income and a decrease in interest expense on deposits of $498,000 offset by an increase of $498,000 in noninterest expense.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 xml:space="preserve">Interest Income. </w:t>
      </w:r>
      <w:r>
        <w:rPr>
          <w:rFonts w:ascii="Times New Roman;Times;serif" w:hAnsi="Times New Roman;Times;serif"/>
          <w:sz w:val="20"/>
        </w:rPr>
        <w:t xml:space="preserve">Interest income increased $2.5 million, or 20.7%, to $14.7 million for the nine months ended September 30, 2025 compared to $12.2 million for the same period in 2024. The increase in interest income was due to a $3.6 million increase in interest income on loans receivable as a result of the growth in the commercial loan portfolio. The increase was partially offset by a $911,000 decrease in interest income on investment securities due to a decrease in account balances and a $106,000 decrease in other interest income. The excess liquidity generated from the decrease in investment and cash account balances was used to fund the growth in the commercial loan portfolio.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 xml:space="preserve">Interest Expense on Deposits. </w:t>
      </w:r>
      <w:r>
        <w:rPr>
          <w:rFonts w:ascii="Times New Roman;Times;serif" w:hAnsi="Times New Roman;Times;serif"/>
          <w:sz w:val="20"/>
        </w:rPr>
        <w:t>Interest expense on deposits decreased $498,000, or 9.2%, to $4.9 million for the nine months ended September 30, 2025 compared to $5.4 million for the nine months ended September 30, 2024. The decrease was primarily caused by lower interest rates on certain accounts as deposits remained relatively unchanged.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Noninterest Expense</w:t>
      </w:r>
      <w:r>
        <w:rPr>
          <w:rFonts w:ascii="Times New Roman;Times;serif" w:hAnsi="Times New Roman;Times;serif"/>
          <w:sz w:val="20"/>
        </w:rPr>
        <w:t>. Noninterest expense increased $498,000, or 5.2%, to $10.1 million for the nine months ended September 30, 2025 compared to $9.6 million for the nine months ended September 30, 2024. Compensation expense increased $292,000 from the same period in 2024 primarily due to staffing requirements in various areas of the bank and the increased focus on the commercial lending area. Other expenses increased $788,000 from the same period in 2024 primarily due to increases in software costs of $130,000 for upgrades to bank functions, professional fees of $420,000 due to the use of consultants in key bank areas and dues and subscriptions of $130,000 for monthly usage and maintenance of said software.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Tax Expense (benefit).</w:t>
      </w:r>
      <w:r>
        <w:rPr>
          <w:rFonts w:ascii="Times New Roman;Times;serif" w:hAnsi="Times New Roman;Times;serif"/>
          <w:sz w:val="20"/>
        </w:rPr>
        <w:t xml:space="preserve"> Tax expense (benefit) decreased $800,000 or 101.6% to an income tax expense of $12,000 for the nine months ended September 30, 2025 compared to an income tax benefit of $788,000 for the same period in 2024.The major factor in the decrease was the net income before taxes for the nine months ended September 30, 2025 compared to the same period in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Hoyne Savings Bank maintains levels of liquid assets deemed adequate by management. We adjust our liquidity levels to fund deposit outflows, repay our borrowings, and to fund loan commitments. We also adjust liquidity, as appropriate, to meet asset and liability management objectives.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Liquidity describes our ability to meet the financial obligations that arise in the ordinary course of business. Liquidity is primarily needed to meet the borrowing and deposit withdrawal requirements of our customers and to fund current and planned expenditures. Our primary sources of funds are deposits, principal and interest payments on loans and securities, and proceeds from maturities of securities. We also have the ability to borrow from the FHLB of Chicago. As of September 30, 2025, we had no outstanding advances from the FHLB of Chicago, and had the capacity to borrow approximately $67.6 million from the FHLB of Chicago.</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While maturities and scheduled amortization of loans and securities are predictable sources of funds, deposit flows and loan prepayments are greatly influenced by general interest rates, economic conditions, and competition. Our most liquid assets are cash and short-term investments. The levels of these assets are dependent on our operating, financing, lending, and investing activities during any given period.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cash flows are comprised of three primary classifications: cash flows provided by (used in) operating activities, investing activities, and financing activities. Net cash provided by (used in) operating activities was ($25,000) and $1.3 million for the nine months ended September 30, 2025 and 2024, respectively. Net cash provided by (used in) investing activities, which consists primarily of change in loans receivable, was $11.1 million and $5.2 million for the nine months ended September 30, 2025 and 2024, respectively. Net cash provided by (used in) by financing activities, which primarily consists of change in deposits, was $509,000 and ($10.3) million for the nine months ended September 30, 2025 and 2024, respectively.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committed to maintaining a strong liquidity position. We monitor our liquidity position on a daily basis. We anticipate that we will have sufficient funds to meet our current short-term and long-term funding commitments.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Based on our deposit retention experience and current pricing strategy, we anticipate that a significant portion of certificates of deposit will be retained. In addition, we participate in the IntraFi network, which includes CDARS as an alternate source of funding with agreed upon interest rates.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September 30, 2025, Hoyne Savings Bank was well capitalized under the regulatory framework for prompt corrective action. During the year ended December 31, 2023, Hoyne Savings Bank elected to begin using the Community Bank Leverage Ratio Framework (the “CBLRF”). Under CBLRF, if a qualifying depository institution or depository institution holding company elects to use such measure, such institution or holding company will be considered well capitalized if its ratio of Tier 1 capital to average total consolidated assets (i.e., leverage ratio) exceeds 9.0% subject to a limited two-quarter grace period, during which the leverage ratio cannot go 100 basis points below the then- applicable threshold, and will not be required to calculate and report risk-based capital ratios. Hoyne Savings Bank’s Tier 1 capital to average assets for the leverage ratio was 20.2% and 19.9% as of September 30, 2025 and December 31, 2024, respectively. Additionally, as of September 30, 2025, we exceeded all of our regulatory capital requirements with a Tier 1 leverage capital level by $40.0 million, or 11.2%.</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Off-Balance Sheet Arrangements</w:t>
      </w:r>
      <w:r>
        <w:rPr>
          <w:rFonts w:ascii="Times New Roman;Times;serif" w:hAnsi="Times New Roman;Times;serif"/>
          <w:i/>
          <w:sz w:val="20"/>
        </w:rPr>
        <w:t xml:space="preserve">. </w:t>
      </w:r>
      <w:r>
        <w:rPr>
          <w:rFonts w:ascii="Times New Roman;Times;serif" w:hAnsi="Times New Roman;Times;serif"/>
          <w:sz w:val="20"/>
        </w:rPr>
        <w:t>As of September 30, 2025, we had $26.8 million of outstanding commitments to originate loans. Our total letters and lines of credit and unused lines of credit totaled $9.1 million as of September 30, 2025. We had unfunded construction loans as of September 30, 2025 of $15.0 million. Certificates of deposit that are scheduled to mature in less than one year from September 30, 2025, totaled $152.5 million. Management expects that a substantial portion of the maturing certificates of deposit will be renewed. However, if a substantial portion of these deposits is not retained, we may utilize FHLB of Chicago advances or raise interest rates on deposits to attract new accounts, which may result in higher levels of interest expense.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Commitments</w:t>
      </w:r>
      <w:r>
        <w:rPr>
          <w:rFonts w:ascii="Times New Roman;Times;serif" w:hAnsi="Times New Roman;Times;serif"/>
          <w:sz w:val="20"/>
        </w:rPr>
        <w:t>. The following table summarizes our outstanding commitments to originate loans and to advance additional amounts pursuant to outstanding letters of credit, lines of credit and undisbursed construction loans as of September 30, 2025.</w:t>
      </w:r>
    </w:p>
    <w:tbl>
      <w:tblPr>
        <w:tblW w:w="8898" w:type="dxa"/>
        <w:jc w:val="left"/>
        <w:tblInd w:w="0" w:type="dxa"/>
        <w:tblLayout w:type="fixed"/>
        <w:tblCellMar>
          <w:top w:w="0" w:type="dxa"/>
          <w:left w:w="0" w:type="dxa"/>
          <w:bottom w:w="0" w:type="dxa"/>
          <w:right w:w="0" w:type="dxa"/>
        </w:tblCellMar>
      </w:tblPr>
      <w:tblGrid>
        <w:gridCol w:w="2731"/>
        <w:gridCol w:w="326"/>
        <w:gridCol w:w="281"/>
        <w:gridCol w:w="904"/>
        <w:gridCol w:w="326"/>
        <w:gridCol w:w="211"/>
        <w:gridCol w:w="676"/>
        <w:gridCol w:w="326"/>
        <w:gridCol w:w="211"/>
        <w:gridCol w:w="571"/>
        <w:gridCol w:w="326"/>
        <w:gridCol w:w="211"/>
        <w:gridCol w:w="571"/>
        <w:gridCol w:w="326"/>
        <w:gridCol w:w="214"/>
        <w:gridCol w:w="687"/>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734185" cy="175260"/>
                      <wp:effectExtent l="0" t="0" r="0" b="0"/>
                      <wp:wrapNone/>
                      <wp:docPr id="367" name="Frame366"/>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07010" cy="175260"/>
                      <wp:effectExtent l="0" t="0" r="0" b="0"/>
                      <wp:wrapNone/>
                      <wp:docPr id="368" name="Frame3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78435" cy="175260"/>
                      <wp:effectExtent l="0" t="0" r="0" b="0"/>
                      <wp:wrapNone/>
                      <wp:docPr id="369" name="Frame368"/>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574040" cy="175260"/>
                      <wp:effectExtent l="0" t="0" r="0" b="0"/>
                      <wp:wrapNone/>
                      <wp:docPr id="370" name="Frame369"/>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07010" cy="175260"/>
                      <wp:effectExtent l="0" t="0" r="0" b="0"/>
                      <wp:wrapNone/>
                      <wp:docPr id="371" name="Frame3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33985" cy="175260"/>
                      <wp:effectExtent l="0" t="0" r="0" b="0"/>
                      <wp:wrapNone/>
                      <wp:docPr id="372" name="Frame3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429260" cy="175260"/>
                      <wp:effectExtent l="0" t="0" r="0" b="0"/>
                      <wp:wrapNone/>
                      <wp:docPr id="373" name="Frame37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07010" cy="175260"/>
                      <wp:effectExtent l="0" t="0" r="0" b="0"/>
                      <wp:wrapNone/>
                      <wp:docPr id="374" name="Frame3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33985" cy="175260"/>
                      <wp:effectExtent l="0" t="0" r="0" b="0"/>
                      <wp:wrapNone/>
                      <wp:docPr id="375" name="Frame3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362585" cy="175260"/>
                      <wp:effectExtent l="0" t="0" r="0" b="0"/>
                      <wp:wrapNone/>
                      <wp:docPr id="376" name="Frame37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07010" cy="175260"/>
                      <wp:effectExtent l="0" t="0" r="0" b="0"/>
                      <wp:wrapNone/>
                      <wp:docPr id="377" name="Frame3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33985" cy="175260"/>
                      <wp:effectExtent l="0" t="0" r="0" b="0"/>
                      <wp:wrapNone/>
                      <wp:docPr id="378" name="Frame3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362585" cy="175260"/>
                      <wp:effectExtent l="0" t="0" r="0" b="0"/>
                      <wp:wrapNone/>
                      <wp:docPr id="379" name="Frame37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07010" cy="175260"/>
                      <wp:effectExtent l="0" t="0" r="0" b="0"/>
                      <wp:wrapNone/>
                      <wp:docPr id="380" name="Frame3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35890" cy="175260"/>
                      <wp:effectExtent l="0" t="0" r="0" b="0"/>
                      <wp:wrapNone/>
                      <wp:docPr id="381" name="Frame380"/>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436245" cy="175260"/>
                      <wp:effectExtent l="0" t="0" r="0" b="0"/>
                      <wp:wrapNone/>
                      <wp:docPr id="382" name="Frame381"/>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4"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center"/>
              <w:rPr/>
            </w:pPr>
            <w:r>
              <w:rPr/>
              <w:t>​</w:t>
            </w:r>
          </w:p>
        </w:tc>
      </w:tr>
      <w:tr>
        <w:trPr/>
        <w:tc>
          <w:tcPr>
            <w:tcW w:w="2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Amounts</w:t>
            </w:r>
          </w:p>
        </w:tc>
        <w:tc>
          <w:tcPr>
            <w:tcW w:w="326" w:type="dxa"/>
            <w:tcBorders/>
            <w:vAlign w:val="center"/>
          </w:tcPr>
          <w:p>
            <w:pPr>
              <w:pStyle w:val="TableContents"/>
              <w:bidi w:val="0"/>
              <w:spacing w:before="0" w:after="0"/>
              <w:ind w:left="0" w:right="0" w:hanging="0"/>
              <w:jc w:val="center"/>
              <w:rPr/>
            </w:pPr>
            <w:r>
              <w:rPr/>
              <w:t>​</w:t>
            </w:r>
          </w:p>
        </w:tc>
        <w:tc>
          <w:tcPr>
            <w:tcW w:w="4330"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of Commitment Expiration – Per Period</w:t>
            </w:r>
          </w:p>
        </w:tc>
      </w:tr>
      <w:tr>
        <w:trPr/>
        <w:tc>
          <w:tcPr>
            <w:tcW w:w="2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Committed at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One to</w:t>
            </w:r>
          </w:p>
        </w:tc>
        <w:tc>
          <w:tcPr>
            <w:tcW w:w="326" w:type="dxa"/>
            <w:tcBorders/>
            <w:vAlign w:val="center"/>
          </w:tcPr>
          <w:p>
            <w:pPr>
              <w:pStyle w:val="TableContents"/>
              <w:bidi w:val="0"/>
              <w:spacing w:before="0" w:after="0"/>
              <w:ind w:left="0" w:right="0" w:hanging="0"/>
              <w:jc w:val="center"/>
              <w:rPr/>
            </w:pPr>
            <w:r>
              <w:rPr/>
              <w:t>    </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to</w:t>
            </w:r>
          </w:p>
        </w:tc>
        <w:tc>
          <w:tcPr>
            <w:tcW w:w="326" w:type="dxa"/>
            <w:tcBorders/>
            <w:vAlign w:val="center"/>
          </w:tcPr>
          <w:p>
            <w:pPr>
              <w:pStyle w:val="TableContents"/>
              <w:bidi w:val="0"/>
              <w:spacing w:before="0" w:after="0"/>
              <w:ind w:left="0" w:right="0" w:hanging="0"/>
              <w:jc w:val="center"/>
              <w:rPr/>
            </w:pPr>
            <w:r>
              <w:rPr/>
              <w:t>    </w:t>
            </w:r>
          </w:p>
        </w:tc>
        <w:tc>
          <w:tcPr>
            <w:tcW w:w="214"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center"/>
              <w:rPr/>
            </w:pPr>
            <w:r>
              <w:rPr/>
              <w:t>​</w:t>
            </w:r>
          </w:p>
        </w:tc>
      </w:tr>
      <w:tr>
        <w:trPr/>
        <w:tc>
          <w:tcPr>
            <w:tcW w:w="2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 One</w:t>
            </w:r>
          </w:p>
        </w:tc>
        <w:tc>
          <w:tcPr>
            <w:tcW w:w="326"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w:t>
            </w:r>
          </w:p>
        </w:tc>
        <w:tc>
          <w:tcPr>
            <w:tcW w:w="326"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Five</w:t>
            </w:r>
          </w:p>
        </w:tc>
        <w:tc>
          <w:tcPr>
            <w:tcW w:w="326" w:type="dxa"/>
            <w:tcBorders/>
            <w:vAlign w:val="center"/>
          </w:tcPr>
          <w:p>
            <w:pPr>
              <w:pStyle w:val="TableContents"/>
              <w:bidi w:val="0"/>
              <w:spacing w:before="0" w:after="0"/>
              <w:ind w:left="0" w:right="0" w:hanging="0"/>
              <w:jc w:val="center"/>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After Five</w:t>
            </w:r>
          </w:p>
        </w:tc>
      </w:tr>
      <w:tr>
        <w:trPr/>
        <w:tc>
          <w:tcPr>
            <w:tcW w:w="2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26" w:type="dxa"/>
            <w:tcBorders/>
            <w:vAlign w:val="center"/>
          </w:tcPr>
          <w:p>
            <w:pPr>
              <w:pStyle w:val="TableContents"/>
              <w:bidi w:val="0"/>
              <w:spacing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26" w:type="dxa"/>
            <w:tcBorders/>
            <w:vAlign w:val="center"/>
          </w:tcPr>
          <w:p>
            <w:pPr>
              <w:pStyle w:val="TableContents"/>
              <w:bidi w:val="0"/>
              <w:spacing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26" w:type="dxa"/>
            <w:tcBorders/>
            <w:vAlign w:val="center"/>
          </w:tcPr>
          <w:p>
            <w:pPr>
              <w:pStyle w:val="TableContents"/>
              <w:bidi w:val="0"/>
              <w:spacing w:before="0" w:after="0"/>
              <w:ind w:left="0" w:right="0" w:hanging="0"/>
              <w:jc w:val="center"/>
              <w:rPr/>
            </w:pPr>
            <w:r>
              <w:rPr/>
              <w:t>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w:t>
            </w:r>
          </w:p>
        </w:tc>
      </w:tr>
      <w:tr>
        <w:trPr/>
        <w:tc>
          <w:tcPr>
            <w:tcW w:w="8898"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2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841" w:type="dxa"/>
            <w:gridSpan w:val="1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Unused lines of credit</w:t>
            </w:r>
          </w:p>
        </w:tc>
        <w:tc>
          <w:tcPr>
            <w:tcW w:w="326" w:type="dxa"/>
            <w:tcBorders/>
            <w:shd w:fill="CCEEFF" w:val="clear"/>
            <w:vAlign w:val="center"/>
          </w:tcPr>
          <w:p>
            <w:pPr>
              <w:pStyle w:val="TableContents"/>
              <w:bidi w:val="0"/>
              <w:spacing w:before="0" w:after="0"/>
              <w:ind w:left="0" w:right="0" w:hanging="0"/>
              <w:jc w:val="center"/>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9,064</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1,426</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4,665</w:t>
            </w:r>
          </w:p>
        </w:tc>
        <w:tc>
          <w:tcPr>
            <w:tcW w:w="326" w:type="dxa"/>
            <w:tcBorders/>
            <w:shd w:fill="CCEEFF" w:val="clear"/>
            <w:vAlign w:val="center"/>
          </w:tcPr>
          <w:p>
            <w:pPr>
              <w:pStyle w:val="TableContents"/>
              <w:bidi w:val="0"/>
              <w:spacing w:before="0" w:after="0"/>
              <w:ind w:left="0" w:right="0" w:hanging="0"/>
              <w:jc w:val="center"/>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2,835</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to originate loans</w:t>
            </w:r>
          </w:p>
        </w:tc>
        <w:tc>
          <w:tcPr>
            <w:tcW w:w="326" w:type="dxa"/>
            <w:tcBorders/>
            <w:vAlign w:val="center"/>
          </w:tcPr>
          <w:p>
            <w:pPr>
              <w:pStyle w:val="TableContents"/>
              <w:bidi w:val="0"/>
              <w:spacing w:before="0" w:after="0"/>
              <w:ind w:left="0" w:right="0" w:hanging="0"/>
              <w:jc w:val="left"/>
              <w:rPr/>
            </w:pPr>
            <w:r>
              <w:rPr/>
              <w:t> </w:t>
            </w:r>
          </w:p>
        </w:tc>
        <w:tc>
          <w:tcPr>
            <w:tcW w:w="281"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26,830</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26,830</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Unfunded construction loans</w:t>
            </w:r>
          </w:p>
        </w:tc>
        <w:tc>
          <w:tcPr>
            <w:tcW w:w="326" w:type="dxa"/>
            <w:tcBorders/>
            <w:shd w:fill="CCEEFF" w:val="clear"/>
            <w:vAlign w:val="center"/>
          </w:tcPr>
          <w:p>
            <w:pPr>
              <w:pStyle w:val="TableContents"/>
              <w:bidi w:val="0"/>
              <w:spacing w:before="0" w:after="0"/>
              <w:ind w:left="0" w:right="0" w:hanging="0"/>
              <w:jc w:val="left"/>
              <w:rPr/>
            </w:pPr>
            <w:r>
              <w:rPr/>
              <w:t> </w:t>
            </w:r>
          </w:p>
        </w:tc>
        <w:tc>
          <w:tcPr>
            <w:tcW w:w="281"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15,055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1,417</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commitments</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50,949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35,269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6,082</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3,914</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Contractual Cash Obligations</w:t>
      </w:r>
      <w:r>
        <w:rPr>
          <w:rFonts w:ascii="Times New Roman;Times;serif" w:hAnsi="Times New Roman;Times;serif"/>
          <w:sz w:val="20"/>
        </w:rPr>
        <w:t>. The following table summarizes our contractual cash obligations as of September 30, 2025.</w:t>
      </w:r>
    </w:p>
    <w:tbl>
      <w:tblPr>
        <w:tblW w:w="9033" w:type="dxa"/>
        <w:jc w:val="left"/>
        <w:tblInd w:w="0" w:type="dxa"/>
        <w:tblLayout w:type="fixed"/>
        <w:tblCellMar>
          <w:top w:w="0" w:type="dxa"/>
          <w:left w:w="0" w:type="dxa"/>
          <w:bottom w:w="0" w:type="dxa"/>
          <w:right w:w="0" w:type="dxa"/>
        </w:tblCellMar>
      </w:tblPr>
      <w:tblGrid>
        <w:gridCol w:w="2656"/>
        <w:gridCol w:w="326"/>
        <w:gridCol w:w="252"/>
        <w:gridCol w:w="933"/>
        <w:gridCol w:w="326"/>
        <w:gridCol w:w="211"/>
        <w:gridCol w:w="781"/>
        <w:gridCol w:w="326"/>
        <w:gridCol w:w="211"/>
        <w:gridCol w:w="676"/>
        <w:gridCol w:w="326"/>
        <w:gridCol w:w="211"/>
        <w:gridCol w:w="571"/>
        <w:gridCol w:w="326"/>
        <w:gridCol w:w="287"/>
        <w:gridCol w:w="614"/>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1686560" cy="175260"/>
                      <wp:effectExtent l="0" t="0" r="0" b="0"/>
                      <wp:wrapNone/>
                      <wp:docPr id="383" name="Frame382"/>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07010" cy="175260"/>
                      <wp:effectExtent l="0" t="0" r="0" b="0"/>
                      <wp:wrapNone/>
                      <wp:docPr id="384" name="Frame3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160020" cy="175260"/>
                      <wp:effectExtent l="0" t="0" r="0" b="0"/>
                      <wp:wrapNone/>
                      <wp:docPr id="385" name="Frame384"/>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592455" cy="175260"/>
                      <wp:effectExtent l="0" t="0" r="0" b="0"/>
                      <wp:wrapNone/>
                      <wp:docPr id="386" name="Frame385"/>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07010" cy="175260"/>
                      <wp:effectExtent l="0" t="0" r="0" b="0"/>
                      <wp:wrapNone/>
                      <wp:docPr id="387" name="Frame3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33985" cy="175260"/>
                      <wp:effectExtent l="0" t="0" r="0" b="0"/>
                      <wp:wrapNone/>
                      <wp:docPr id="388" name="Frame3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495935" cy="175260"/>
                      <wp:effectExtent l="0" t="0" r="0" b="0"/>
                      <wp:wrapNone/>
                      <wp:docPr id="389" name="Frame38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07010" cy="175260"/>
                      <wp:effectExtent l="0" t="0" r="0" b="0"/>
                      <wp:wrapNone/>
                      <wp:docPr id="390" name="Frame3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33985" cy="175260"/>
                      <wp:effectExtent l="0" t="0" r="0" b="0"/>
                      <wp:wrapNone/>
                      <wp:docPr id="391" name="Frame3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429260" cy="175260"/>
                      <wp:effectExtent l="0" t="0" r="0" b="0"/>
                      <wp:wrapNone/>
                      <wp:docPr id="392" name="Frame39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07010" cy="175260"/>
                      <wp:effectExtent l="0" t="0" r="0" b="0"/>
                      <wp:wrapNone/>
                      <wp:docPr id="393" name="Frame3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33985" cy="175260"/>
                      <wp:effectExtent l="0" t="0" r="0" b="0"/>
                      <wp:wrapNone/>
                      <wp:docPr id="394" name="Frame3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362585" cy="175260"/>
                      <wp:effectExtent l="0" t="0" r="0" b="0"/>
                      <wp:wrapNone/>
                      <wp:docPr id="395" name="Frame39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07010" cy="175260"/>
                      <wp:effectExtent l="0" t="0" r="0" b="0"/>
                      <wp:wrapNone/>
                      <wp:docPr id="396" name="Frame3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182245" cy="175260"/>
                      <wp:effectExtent l="0" t="0" r="0" b="0"/>
                      <wp:wrapNone/>
                      <wp:docPr id="397" name="Frame396"/>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389890" cy="175260"/>
                      <wp:effectExtent l="0" t="0" r="0" b="0"/>
                      <wp:wrapNone/>
                      <wp:docPr id="398" name="Frame397"/>
                      <a:graphic xmlns:a="http://schemas.openxmlformats.org/drawingml/2006/main">
                        <a:graphicData uri="http://schemas.microsoft.com/office/word/2010/wordprocessingShape">
                          <wps:wsp>
                            <wps:cNvSpPr txBox="1"/>
                            <wps:spPr>
                              <a:xfrm>
                                <a:off x="0" y="0"/>
                                <a:ext cx="389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52" w:type="dxa"/>
            <w:tcBorders/>
            <w:vAlign w:val="center"/>
          </w:tcPr>
          <w:p>
            <w:pPr>
              <w:pStyle w:val="TableContents"/>
              <w:bidi w:val="0"/>
              <w:spacing w:before="0" w:after="1"/>
              <w:ind w:left="0" w:right="0" w:hanging="0"/>
              <w:jc w:val="center"/>
              <w:rPr/>
            </w:pPr>
            <w:r>
              <w:rPr/>
              <w:t>​</w:t>
            </w:r>
          </w:p>
        </w:tc>
        <w:tc>
          <w:tcPr>
            <w:tcW w:w="93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4540"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Payments Due by Period </w:t>
            </w:r>
          </w:p>
        </w:tc>
      </w:tr>
      <w:tr>
        <w:trPr/>
        <w:tc>
          <w:tcPr>
            <w:tcW w:w="26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at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One to</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to</w:t>
            </w:r>
          </w:p>
        </w:tc>
        <w:tc>
          <w:tcPr>
            <w:tcW w:w="326" w:type="dxa"/>
            <w:tcBorders/>
            <w:vAlign w:val="center"/>
          </w:tcPr>
          <w:p>
            <w:pPr>
              <w:pStyle w:val="TableContents"/>
              <w:bidi w:val="0"/>
              <w:spacing w:before="0" w:after="1"/>
              <w:ind w:left="0" w:right="0" w:hanging="0"/>
              <w:jc w:val="center"/>
              <w:rPr/>
            </w:pPr>
            <w:r>
              <w:rPr/>
              <w:t>    </w:t>
            </w:r>
          </w:p>
        </w:tc>
        <w:tc>
          <w:tcPr>
            <w:tcW w:w="287" w:type="dxa"/>
            <w:tcBorders/>
            <w:vAlign w:val="center"/>
          </w:tcPr>
          <w:p>
            <w:pPr>
              <w:pStyle w:val="TableContents"/>
              <w:bidi w:val="0"/>
              <w:spacing w:before="0" w:after="1"/>
              <w:ind w:left="0" w:right="0" w:hanging="0"/>
              <w:jc w:val="center"/>
              <w:rPr/>
            </w:pPr>
            <w:r>
              <w:rPr/>
              <w:t>​</w:t>
            </w:r>
          </w:p>
        </w:tc>
        <w:tc>
          <w:tcPr>
            <w:tcW w:w="614" w:type="dxa"/>
            <w:tcBorders/>
            <w:vAlign w:val="center"/>
          </w:tcPr>
          <w:p>
            <w:pPr>
              <w:pStyle w:val="TableContents"/>
              <w:bidi w:val="0"/>
              <w:spacing w:before="0" w:after="1"/>
              <w:ind w:left="0" w:right="0" w:hanging="0"/>
              <w:jc w:val="center"/>
              <w:rPr/>
            </w:pPr>
            <w:r>
              <w:rPr/>
              <w:t> </w:t>
            </w:r>
          </w:p>
        </w:tc>
      </w:tr>
      <w:tr>
        <w:trPr/>
        <w:tc>
          <w:tcPr>
            <w:tcW w:w="26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 One</w:t>
            </w:r>
          </w:p>
        </w:tc>
        <w:tc>
          <w:tcPr>
            <w:tcW w:w="32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w:t>
            </w:r>
          </w:p>
        </w:tc>
        <w:tc>
          <w:tcPr>
            <w:tcW w:w="326" w:type="dxa"/>
            <w:tcBorders/>
            <w:vAlign w:val="center"/>
          </w:tcPr>
          <w:p>
            <w:pPr>
              <w:pStyle w:val="TableContents"/>
              <w:bidi w:val="0"/>
              <w:spacing w:before="0" w:after="1"/>
              <w:ind w:left="0" w:right="0" w:hanging="0"/>
              <w:jc w:val="center"/>
              <w:rPr/>
            </w:pPr>
            <w:r>
              <w:rPr/>
              <w:t>​</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Five</w:t>
            </w:r>
          </w:p>
        </w:tc>
        <w:tc>
          <w:tcPr>
            <w:tcW w:w="326" w:type="dxa"/>
            <w:tcBorders/>
            <w:vAlign w:val="center"/>
          </w:tcPr>
          <w:p>
            <w:pPr>
              <w:pStyle w:val="TableContents"/>
              <w:bidi w:val="0"/>
              <w:spacing w:before="0" w:after="1"/>
              <w:ind w:left="0" w:right="0" w:hanging="0"/>
              <w:jc w:val="center"/>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After Five</w:t>
            </w:r>
          </w:p>
        </w:tc>
      </w:tr>
      <w:tr>
        <w:trPr/>
        <w:tc>
          <w:tcPr>
            <w:tcW w:w="26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26" w:type="dxa"/>
            <w:tcBorders/>
            <w:vAlign w:val="center"/>
          </w:tcPr>
          <w:p>
            <w:pPr>
              <w:pStyle w:val="TableContents"/>
              <w:bidi w:val="0"/>
              <w:spacing w:before="0" w:after="1"/>
              <w:ind w:left="0" w:right="0" w:hanging="0"/>
              <w:jc w:val="center"/>
              <w:rPr/>
            </w:pPr>
            <w:r>
              <w:rPr/>
              <w:t>    </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r>
      <w:tr>
        <w:trPr/>
        <w:tc>
          <w:tcPr>
            <w:tcW w:w="9033"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26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6051" w:type="dxa"/>
            <w:gridSpan w:val="1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r>
      <w:tr>
        <w:trPr/>
        <w:tc>
          <w:tcPr>
            <w:tcW w:w="2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Certificates of deposit</w:t>
            </w:r>
          </w:p>
        </w:tc>
        <w:tc>
          <w:tcPr>
            <w:tcW w:w="326" w:type="dxa"/>
            <w:tcBorders/>
            <w:shd w:fill="CCEEFF" w:val="clear"/>
            <w:vAlign w:val="center"/>
          </w:tcPr>
          <w:p>
            <w:pPr>
              <w:pStyle w:val="TableContents"/>
              <w:bidi w:val="0"/>
              <w:spacing w:before="0" w:after="1"/>
              <w:ind w:left="0" w:right="0" w:hanging="0"/>
              <w:jc w:val="center"/>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166,880</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152,547</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13,188</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1,145</w:t>
            </w:r>
          </w:p>
        </w:tc>
        <w:tc>
          <w:tcPr>
            <w:tcW w:w="326" w:type="dxa"/>
            <w:tcBorders/>
            <w:shd w:fill="CCEEFF" w:val="clear"/>
            <w:vAlign w:val="center"/>
          </w:tcPr>
          <w:p>
            <w:pPr>
              <w:pStyle w:val="TableContents"/>
              <w:bidi w:val="0"/>
              <w:spacing w:before="0" w:after="1"/>
              <w:ind w:left="0" w:right="0" w:hanging="0"/>
              <w:jc w:val="center"/>
              <w:rPr/>
            </w:pPr>
            <w:r>
              <w:rPr/>
              <w:t>​</w:t>
            </w:r>
          </w:p>
        </w:tc>
        <w:tc>
          <w:tcPr>
            <w:tcW w:w="2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4" w:type="dxa"/>
            <w:tcBorders/>
            <w:shd w:fill="CCEEFF" w:val="clear"/>
            <w:vAlign w:val="center"/>
          </w:tcPr>
          <w:p>
            <w:pPr>
              <w:pStyle w:val="TableContents"/>
              <w:bidi w:val="0"/>
              <w:spacing w:before="0" w:after="1"/>
              <w:ind w:left="0" w:right="0" w:hanging="0"/>
              <w:jc w:val="right"/>
              <w:rPr/>
            </w:pPr>
            <w:r>
              <w:rPr/>
              <w:t>—</w:t>
            </w:r>
          </w:p>
        </w:tc>
      </w:tr>
      <w:tr>
        <w:trPr/>
        <w:tc>
          <w:tcPr>
            <w:tcW w:w="265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Total contractual obligations</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166,880</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152,547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13,188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1,145</w:t>
            </w:r>
          </w:p>
        </w:tc>
        <w:tc>
          <w:tcPr>
            <w:tcW w:w="326"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4" w:type="dxa"/>
            <w:tcBorders/>
            <w:vAlign w:val="center"/>
          </w:tcPr>
          <w:p>
            <w:pPr>
              <w:pStyle w:val="TableContents"/>
              <w:bidi w:val="0"/>
              <w:spacing w:before="0" w:after="1"/>
              <w:ind w:left="0" w:right="60" w:hanging="0"/>
              <w:jc w:val="right"/>
              <w:rPr/>
            </w:pPr>
            <w:r>
              <w:rPr/>
              <w:t>—</w:t>
            </w:r>
          </w:p>
        </w:tc>
      </w:tr>
    </w:tbl>
    <w:tbl>
      <w:tblPr>
        <w:tblW w:w="4502" w:type="dxa"/>
        <w:jc w:val="left"/>
        <w:tblInd w:w="0" w:type="dxa"/>
        <w:tblLayout w:type="fixed"/>
        <w:tblCellMar>
          <w:top w:w="0" w:type="dxa"/>
          <w:left w:w="0" w:type="dxa"/>
          <w:bottom w:w="0" w:type="dxa"/>
          <w:right w:w="0" w:type="dxa"/>
        </w:tblCellMar>
      </w:tblPr>
      <w:tblGrid>
        <w:gridCol w:w="346"/>
        <w:gridCol w:w="4156"/>
      </w:tblGrid>
      <w:tr>
        <w:trPr/>
        <w:tc>
          <w:tcPr>
            <w:tcW w:w="346"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(1)</w:t>
            </w:r>
          </w:p>
        </w:tc>
        <w:tc>
          <w:tcPr>
            <w:tcW w:w="4156"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Does not include CDARS, totaling $25.7 million.</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Impact of Inflation and Changing Prices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consolidated financial statements and related financial data presented herein regarding Hoyne Savings Bank have been prepared in accordance with U.S. GAAP, which generally require the measurement of financial position and operating results in terms of historical dollars, without considering changes in relative purchasing power over time due to inflation. Unlike most industrial companies, virtually all of our assets and liabilities are monetary in nature. As a result, interest rates generally have a more significant impact on Hoyne Savings Bank’s performance than does the effect of inflation. Interest rates do not necessarily move in the same direction or in the same magnitude as the prices of goods and services, since such prices are affected by inflation to a larger extent than interest rates.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Exposure to Changes in Interest Rates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ability to maintain net interest income depends upon our ability to earn a higher yield on interest- earning assets than the rates we pay on deposits and borrowings. Our interest-earning assets consist primarily of securities available-for-sale and primarily one to four family, residential, commercial real estate (including commercial construction) and commercial and industrial loans, which have fixed and variable rates of interest. Consequently, our ability to maintain a positive spread between the interest earned on assets and the interest paid on deposits and borrowings can be adversely affected when market rates of interest rise.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Net Portfolio Value Analysis</w:t>
      </w:r>
      <w:r>
        <w:rPr>
          <w:rFonts w:ascii="Times New Roman;Times;serif" w:hAnsi="Times New Roman;Times;serif"/>
          <w:sz w:val="20"/>
        </w:rPr>
        <w:t>. Our interest rate sensitivity is monitored by management through the use of models which generate estimates of the change in its net portfolio value analysis (“NPV”) over a range of interest rate scenarios. NPV represents the market value of portfolio equity, which is different from book value, and is equal to the market value of assets minus the market value of liabilities (that is, the difference between incoming and outgoing discounted cash flows of assets and liabilities) with adjustments made for off-balance sheet items. The NPV ratio, under any interest rate scenario, is defined as the NPV in that scenario divided by the market value of assets in the same scenario. Management reviews the quarterly reports from third-party industry sources, which show the impact of changing interest rates on net portfolio value. The following table sets forth our NPV as of September 30, 2025 and reflects the changes to NPV as a result of immediate and sustained changes in interest rates as indicated.</w:t>
      </w:r>
    </w:p>
    <w:tbl>
      <w:tblPr>
        <w:tblW w:w="10205" w:type="dxa"/>
        <w:jc w:val="left"/>
        <w:tblInd w:w="0" w:type="dxa"/>
        <w:tblLayout w:type="fixed"/>
        <w:tblCellMar>
          <w:top w:w="0" w:type="dxa"/>
          <w:left w:w="0" w:type="dxa"/>
          <w:bottom w:w="0" w:type="dxa"/>
          <w:right w:w="0" w:type="dxa"/>
        </w:tblCellMar>
      </w:tblPr>
      <w:tblGrid>
        <w:gridCol w:w="3783"/>
        <w:gridCol w:w="326"/>
        <w:gridCol w:w="211"/>
        <w:gridCol w:w="781"/>
        <w:gridCol w:w="326"/>
        <w:gridCol w:w="211"/>
        <w:gridCol w:w="792"/>
        <w:gridCol w:w="326"/>
        <w:gridCol w:w="871"/>
        <w:gridCol w:w="361"/>
        <w:gridCol w:w="878"/>
        <w:gridCol w:w="361"/>
        <w:gridCol w:w="661"/>
        <w:gridCol w:w="317"/>
      </w:tblGrid>
      <w:tr>
        <w:trPr/>
        <w:tc>
          <w:tcPr>
            <w:tcW w:w="3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402205" cy="175260"/>
                      <wp:effectExtent l="0" t="0" r="0" b="0"/>
                      <wp:wrapNone/>
                      <wp:docPr id="399" name="Frame398"/>
                      <a:graphic xmlns:a="http://schemas.openxmlformats.org/drawingml/2006/main">
                        <a:graphicData uri="http://schemas.microsoft.com/office/word/2010/wordprocessingShape">
                          <wps:wsp>
                            <wps:cNvSpPr txBox="1"/>
                            <wps:spPr>
                              <a:xfrm>
                                <a:off x="0" y="0"/>
                                <a:ext cx="2402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07010" cy="175260"/>
                      <wp:effectExtent l="0" t="0" r="0" b="0"/>
                      <wp:wrapNone/>
                      <wp:docPr id="400" name="Frame3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133985" cy="175260"/>
                      <wp:effectExtent l="0" t="0" r="0" b="0"/>
                      <wp:wrapNone/>
                      <wp:docPr id="401" name="Frame4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495935" cy="175260"/>
                      <wp:effectExtent l="0" t="0" r="0" b="0"/>
                      <wp:wrapNone/>
                      <wp:docPr id="402" name="Frame40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07010" cy="175260"/>
                      <wp:effectExtent l="0" t="0" r="0" b="0"/>
                      <wp:wrapNone/>
                      <wp:docPr id="403" name="Frame4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33985" cy="175260"/>
                      <wp:effectExtent l="0" t="0" r="0" b="0"/>
                      <wp:wrapNone/>
                      <wp:docPr id="404" name="Frame4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502920" cy="175260"/>
                      <wp:effectExtent l="0" t="0" r="0" b="0"/>
                      <wp:wrapNone/>
                      <wp:docPr id="405" name="Frame404"/>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07010" cy="175260"/>
                      <wp:effectExtent l="0" t="0" r="0" b="0"/>
                      <wp:wrapNone/>
                      <wp:docPr id="406" name="Frame4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553085" cy="175260"/>
                      <wp:effectExtent l="0" t="0" r="0" b="0"/>
                      <wp:wrapNone/>
                      <wp:docPr id="407" name="Frame406"/>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29235" cy="175260"/>
                      <wp:effectExtent l="0" t="0" r="0" b="0"/>
                      <wp:wrapNone/>
                      <wp:docPr id="408" name="Frame40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557530" cy="175260"/>
                      <wp:effectExtent l="0" t="0" r="0" b="0"/>
                      <wp:wrapNone/>
                      <wp:docPr id="409" name="Frame408"/>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29235" cy="175260"/>
                      <wp:effectExtent l="0" t="0" r="0" b="0"/>
                      <wp:wrapNone/>
                      <wp:docPr id="410" name="Frame40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419735" cy="175260"/>
                      <wp:effectExtent l="0" t="0" r="0" b="0"/>
                      <wp:wrapNone/>
                      <wp:docPr id="411" name="Frame410"/>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01295" cy="175260"/>
                      <wp:effectExtent l="0" t="0" r="0" b="0"/>
                      <wp:wrapNone/>
                      <wp:docPr id="412" name="Frame411"/>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79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center"/>
              <w:rPr/>
            </w:pPr>
            <w:r>
              <w:rPr/>
              <w:t>    </w:t>
            </w:r>
          </w:p>
        </w:tc>
        <w:tc>
          <w:tcPr>
            <w:tcW w:w="361" w:type="dxa"/>
            <w:tcBorders/>
            <w:vAlign w:val="center"/>
          </w:tcPr>
          <w:p>
            <w:pPr>
              <w:pStyle w:val="TableContents"/>
              <w:bidi w:val="0"/>
              <w:spacing w:before="0" w:after="0"/>
              <w:ind w:left="0" w:right="0" w:hanging="0"/>
              <w:jc w:val="left"/>
              <w:rPr/>
            </w:pPr>
            <w:r>
              <w:rPr/>
              <w:t>    </w:t>
            </w:r>
          </w:p>
        </w:tc>
        <w:tc>
          <w:tcPr>
            <w:tcW w:w="1900"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NPV as % of</w:t>
            </w:r>
          </w:p>
        </w:tc>
        <w:tc>
          <w:tcPr>
            <w:tcW w:w="317" w:type="dxa"/>
            <w:tcBorders/>
            <w:vAlign w:val="center"/>
          </w:tcPr>
          <w:p>
            <w:pPr>
              <w:pStyle w:val="TableContents"/>
              <w:bidi w:val="0"/>
              <w:spacing w:before="0" w:after="0"/>
              <w:ind w:left="0" w:right="0" w:hanging="0"/>
              <w:jc w:val="center"/>
              <w:rPr/>
            </w:pPr>
            <w:r>
              <w:rPr/>
              <w:t> </w:t>
            </w:r>
          </w:p>
        </w:tc>
      </w:tr>
      <w:tr>
        <w:trPr/>
        <w:tc>
          <w:tcPr>
            <w:tcW w:w="37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9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left"/>
              <w:rPr/>
            </w:pPr>
            <w:r>
              <w:rPr/>
              <w:t>​</w:t>
            </w:r>
          </w:p>
        </w:tc>
        <w:tc>
          <w:tcPr>
            <w:tcW w:w="1900"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Portfolio Value of</w:t>
            </w:r>
          </w:p>
        </w:tc>
        <w:tc>
          <w:tcPr>
            <w:tcW w:w="317" w:type="dxa"/>
            <w:tcBorders/>
            <w:vAlign w:val="center"/>
          </w:tcPr>
          <w:p>
            <w:pPr>
              <w:pStyle w:val="TableContents"/>
              <w:bidi w:val="0"/>
              <w:spacing w:before="0" w:after="0"/>
              <w:ind w:left="0" w:right="0" w:hanging="0"/>
              <w:jc w:val="center"/>
              <w:rPr/>
            </w:pPr>
            <w:r>
              <w:rPr/>
              <w:t> </w:t>
            </w:r>
          </w:p>
        </w:tc>
      </w:tr>
      <w:tr>
        <w:trPr/>
        <w:tc>
          <w:tcPr>
            <w:tcW w:w="37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518"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Portfolio Value</w:t>
            </w:r>
          </w:p>
        </w:tc>
        <w:tc>
          <w:tcPr>
            <w:tcW w:w="361" w:type="dxa"/>
            <w:tcBorders/>
            <w:vAlign w:val="center"/>
          </w:tcPr>
          <w:p>
            <w:pPr>
              <w:pStyle w:val="TableContents"/>
              <w:bidi w:val="0"/>
              <w:spacing w:before="0" w:after="0"/>
              <w:ind w:left="0" w:right="0" w:hanging="0"/>
              <w:jc w:val="left"/>
              <w:rPr/>
            </w:pPr>
            <w:r>
              <w:rPr/>
              <w:t>​</w:t>
            </w:r>
          </w:p>
        </w:tc>
        <w:tc>
          <w:tcPr>
            <w:tcW w:w="190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17" w:type="dxa"/>
            <w:tcBorders/>
            <w:vAlign w:val="center"/>
          </w:tcPr>
          <w:p>
            <w:pPr>
              <w:pStyle w:val="TableContents"/>
              <w:bidi w:val="0"/>
              <w:spacing w:before="0" w:after="0"/>
              <w:ind w:left="0" w:right="0" w:hanging="0"/>
              <w:jc w:val="center"/>
              <w:rPr/>
            </w:pPr>
            <w:r>
              <w:rPr/>
              <w:t> </w:t>
            </w:r>
          </w:p>
        </w:tc>
      </w:tr>
      <w:tr>
        <w:trPr/>
        <w:tc>
          <w:tcPr>
            <w:tcW w:w="378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Change in Interest Rates in Basis Points (Rate Shock)</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center"/>
              <w:rPr/>
            </w:pPr>
            <w:r>
              <w:rPr/>
              <w:t>    </w:t>
            </w:r>
          </w:p>
        </w:tc>
        <w:tc>
          <w:tcPr>
            <w:tcW w:w="10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61" w:type="dxa"/>
            <w:tcBorders/>
            <w:vAlign w:val="center"/>
          </w:tcPr>
          <w:p>
            <w:pPr>
              <w:pStyle w:val="TableContents"/>
              <w:bidi w:val="0"/>
              <w:spacing w:before="0" w:after="0"/>
              <w:ind w:left="0" w:right="0" w:hanging="0"/>
              <w:jc w:val="left"/>
              <w:rPr/>
            </w:pPr>
            <w:r>
              <w:rPr/>
              <w:t>    </w:t>
            </w:r>
          </w:p>
        </w:tc>
        <w:tc>
          <w:tcPr>
            <w:tcW w:w="87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NPV Ratio</w:t>
            </w:r>
          </w:p>
        </w:tc>
        <w:tc>
          <w:tcPr>
            <w:tcW w:w="361" w:type="dxa"/>
            <w:tcBorders/>
            <w:vAlign w:val="center"/>
          </w:tcPr>
          <w:p>
            <w:pPr>
              <w:pStyle w:val="TableContents"/>
              <w:bidi w:val="0"/>
              <w:spacing w:before="0" w:after="0"/>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7" w:type="dxa"/>
            <w:tcBorders/>
            <w:vAlign w:val="center"/>
          </w:tcPr>
          <w:p>
            <w:pPr>
              <w:pStyle w:val="TableContents"/>
              <w:bidi w:val="0"/>
              <w:spacing w:before="0" w:after="0"/>
              <w:ind w:left="0" w:right="0" w:hanging="0"/>
              <w:jc w:val="center"/>
              <w:rPr/>
            </w:pPr>
            <w:r>
              <w:rPr/>
              <w:t> </w:t>
            </w:r>
          </w:p>
        </w:tc>
      </w:tr>
      <w:tr>
        <w:trPr/>
        <w:tc>
          <w:tcPr>
            <w:tcW w:w="10205"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37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779"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317" w:type="dxa"/>
            <w:tcBorders/>
            <w:vAlign w:val="center"/>
          </w:tcPr>
          <w:p>
            <w:pPr>
              <w:pStyle w:val="TableContents"/>
              <w:bidi w:val="0"/>
              <w:spacing w:before="0" w:after="0"/>
              <w:ind w:left="0" w:right="0" w:hanging="0"/>
              <w:jc w:val="center"/>
              <w:rPr/>
            </w:pPr>
            <w:r>
              <w:rPr/>
              <w:t> </w:t>
            </w:r>
          </w:p>
        </w:tc>
      </w:tr>
      <w:tr>
        <w:trPr/>
        <w:tc>
          <w:tcPr>
            <w:tcW w:w="37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300bp</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195,691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(31,264)</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205,859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(21,096)</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216,317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(10,638)</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Static</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226,955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 </w:t>
            </w:r>
          </w:p>
        </w:tc>
        <w:tc>
          <w:tcPr>
            <w:tcW w:w="878"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  </w:t>
            </w:r>
          </w:p>
        </w:tc>
        <w:tc>
          <w:tcPr>
            <w:tcW w:w="317" w:type="dxa"/>
            <w:tcBorders/>
            <w:vAlign w:val="center"/>
          </w:tcPr>
          <w:p>
            <w:pPr>
              <w:pStyle w:val="TableContents"/>
              <w:bidi w:val="0"/>
              <w:spacing w:before="0" w:after="0"/>
              <w:ind w:left="0" w:right="0" w:hanging="0"/>
              <w:jc w:val="left"/>
              <w:rPr/>
            </w:pPr>
            <w:r>
              <w:rPr/>
              <w:t>​</w:t>
            </w:r>
          </w:p>
        </w:tc>
      </w:tr>
      <w:tr>
        <w:trPr/>
        <w:tc>
          <w:tcPr>
            <w:tcW w:w="37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237,850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10,895</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248,841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21,886</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258,150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31,195</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w:t>
            </w:r>
          </w:p>
        </w:tc>
        <w:tc>
          <w:tcPr>
            <w:tcW w:w="361"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Net Interest Income Analysis</w:t>
      </w:r>
      <w:r>
        <w:rPr>
          <w:rFonts w:ascii="Times New Roman;Times;serif" w:hAnsi="Times New Roman;Times;serif"/>
          <w:sz w:val="20"/>
        </w:rPr>
        <w:t>. In addition to modeling changes in NPV, we also analyze potential changes to net interest income (“NII”) for a twelve-month period under rising and falling interest rate scenarios. The following table shows our NII model as of September 30, 2025.</w:t>
      </w:r>
    </w:p>
    <w:tbl>
      <w:tblPr>
        <w:tblW w:w="8574" w:type="dxa"/>
        <w:jc w:val="left"/>
        <w:tblInd w:w="0" w:type="dxa"/>
        <w:tblLayout w:type="fixed"/>
        <w:tblCellMar>
          <w:top w:w="0" w:type="dxa"/>
          <w:left w:w="0" w:type="dxa"/>
          <w:bottom w:w="0" w:type="dxa"/>
          <w:right w:w="0" w:type="dxa"/>
        </w:tblCellMar>
      </w:tblPr>
      <w:tblGrid>
        <w:gridCol w:w="3976"/>
        <w:gridCol w:w="326"/>
        <w:gridCol w:w="364"/>
        <w:gridCol w:w="1167"/>
        <w:gridCol w:w="326"/>
        <w:gridCol w:w="211"/>
        <w:gridCol w:w="691"/>
        <w:gridCol w:w="326"/>
        <w:gridCol w:w="871"/>
        <w:gridCol w:w="316"/>
      </w:tblGrid>
      <w:tr>
        <w:trPr/>
        <w:tc>
          <w:tcPr>
            <w:tcW w:w="3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524760" cy="175260"/>
                      <wp:effectExtent l="0" t="0" r="0" b="0"/>
                      <wp:wrapNone/>
                      <wp:docPr id="413" name="Frame412"/>
                      <a:graphic xmlns:a="http://schemas.openxmlformats.org/drawingml/2006/main">
                        <a:graphicData uri="http://schemas.microsoft.com/office/word/2010/wordprocessingShape">
                          <wps:wsp>
                            <wps:cNvSpPr txBox="1"/>
                            <wps:spPr>
                              <a:xfrm>
                                <a:off x="0" y="0"/>
                                <a:ext cx="2524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07010" cy="175260"/>
                      <wp:effectExtent l="0" t="0" r="0" b="0"/>
                      <wp:wrapNone/>
                      <wp:docPr id="414" name="Frame4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31140" cy="175260"/>
                      <wp:effectExtent l="0" t="0" r="0" b="0"/>
                      <wp:wrapNone/>
                      <wp:docPr id="415" name="Frame414"/>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741045" cy="175260"/>
                      <wp:effectExtent l="0" t="0" r="0" b="0"/>
                      <wp:wrapNone/>
                      <wp:docPr id="416" name="Frame415"/>
                      <a:graphic xmlns:a="http://schemas.openxmlformats.org/drawingml/2006/main">
                        <a:graphicData uri="http://schemas.microsoft.com/office/word/2010/wordprocessingShape">
                          <wps:wsp>
                            <wps:cNvSpPr txBox="1"/>
                            <wps:spPr>
                              <a:xfrm>
                                <a:off x="0" y="0"/>
                                <a:ext cx="741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07010" cy="175260"/>
                      <wp:effectExtent l="0" t="0" r="0" b="0"/>
                      <wp:wrapNone/>
                      <wp:docPr id="417" name="Frame4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133985" cy="175260"/>
                      <wp:effectExtent l="0" t="0" r="0" b="0"/>
                      <wp:wrapNone/>
                      <wp:docPr id="418" name="Frame4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438785" cy="175260"/>
                      <wp:effectExtent l="0" t="0" r="0" b="0"/>
                      <wp:wrapNone/>
                      <wp:docPr id="419" name="Frame41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07010" cy="175260"/>
                      <wp:effectExtent l="0" t="0" r="0" b="0"/>
                      <wp:wrapNone/>
                      <wp:docPr id="420" name="Frame4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553085" cy="175260"/>
                      <wp:effectExtent l="0" t="0" r="0" b="0"/>
                      <wp:wrapNone/>
                      <wp:docPr id="421" name="Frame420"/>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00660" cy="175260"/>
                      <wp:effectExtent l="0" t="0" r="0" b="0"/>
                      <wp:wrapNone/>
                      <wp:docPr id="422" name="Frame42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Change in Interest Rates in Basis Points (Rate Shock)</w:t>
            </w:r>
          </w:p>
        </w:tc>
        <w:tc>
          <w:tcPr>
            <w:tcW w:w="326" w:type="dxa"/>
            <w:tcBorders/>
            <w:vAlign w:val="center"/>
          </w:tcPr>
          <w:p>
            <w:pPr>
              <w:pStyle w:val="TableContents"/>
              <w:bidi w:val="0"/>
              <w:spacing w:before="0" w:after="0"/>
              <w:ind w:left="0" w:right="0" w:hanging="0"/>
              <w:jc w:val="center"/>
              <w:rPr/>
            </w:pPr>
            <w:r>
              <w:rPr/>
              <w:t>    </w:t>
            </w:r>
          </w:p>
        </w:tc>
        <w:tc>
          <w:tcPr>
            <w:tcW w:w="15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Interest Income</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0"/>
              <w:ind w:left="0" w:right="0" w:hanging="0"/>
              <w:jc w:val="center"/>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0"/>
              <w:ind w:left="0" w:right="0" w:hanging="0"/>
              <w:jc w:val="center"/>
              <w:rPr/>
            </w:pPr>
            <w:r>
              <w:rPr/>
              <w:t> </w:t>
            </w:r>
          </w:p>
        </w:tc>
      </w:tr>
      <w:tr>
        <w:trPr/>
        <w:tc>
          <w:tcPr>
            <w:tcW w:w="8574"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956"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316" w:type="dxa"/>
            <w:tcBorders/>
            <w:vAlign w:val="center"/>
          </w:tcPr>
          <w:p>
            <w:pPr>
              <w:pStyle w:val="TableContents"/>
              <w:bidi w:val="0"/>
              <w:spacing w:before="0" w:after="0"/>
              <w:ind w:left="0" w:right="0" w:hanging="0"/>
              <w:jc w:val="center"/>
              <w:rPr/>
            </w:pPr>
            <w:r>
              <w:rPr/>
              <w:t> </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300bp</w:t>
            </w:r>
          </w:p>
        </w:tc>
        <w:tc>
          <w:tcPr>
            <w:tcW w:w="326"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(1,852)</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200</w:t>
            </w:r>
          </w:p>
        </w:tc>
        <w:tc>
          <w:tcPr>
            <w:tcW w:w="326" w:type="dxa"/>
            <w:tcBorders/>
            <w:vAlign w:val="center"/>
          </w:tcPr>
          <w:p>
            <w:pPr>
              <w:pStyle w:val="TableContents"/>
              <w:bidi w:val="0"/>
              <w:spacing w:before="0" w:after="0"/>
              <w:ind w:left="0" w:right="0" w:hanging="0"/>
              <w:jc w:val="left"/>
              <w:rPr/>
            </w:pPr>
            <w:r>
              <w:rPr/>
              <w:t>​</w:t>
            </w:r>
          </w:p>
        </w:tc>
        <w:tc>
          <w:tcPr>
            <w:tcW w:w="364" w:type="dxa"/>
            <w:tcBorders/>
            <w:vAlign w:val="center"/>
          </w:tcPr>
          <w:p>
            <w:pPr>
              <w:pStyle w:val="TableContents"/>
              <w:bidi w:val="0"/>
              <w:spacing w:before="0" w:after="0"/>
              <w:ind w:left="0" w:right="0" w:hanging="0"/>
              <w:jc w:val="left"/>
              <w:rPr/>
            </w:pPr>
            <w:r>
              <w:rPr/>
              <w:t> </w:t>
            </w:r>
          </w:p>
        </w:tc>
        <w:tc>
          <w:tcPr>
            <w:tcW w:w="11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12,768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(1,199)</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left"/>
              <w:rPr/>
            </w:pPr>
            <w:r>
              <w:rPr/>
              <w:t> </w:t>
            </w:r>
          </w:p>
        </w:tc>
        <w:tc>
          <w:tcPr>
            <w:tcW w:w="11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Static</w:t>
            </w:r>
          </w:p>
        </w:tc>
        <w:tc>
          <w:tcPr>
            <w:tcW w:w="326" w:type="dxa"/>
            <w:tcBorders/>
            <w:vAlign w:val="center"/>
          </w:tcPr>
          <w:p>
            <w:pPr>
              <w:pStyle w:val="TableContents"/>
              <w:bidi w:val="0"/>
              <w:spacing w:before="0" w:after="0"/>
              <w:ind w:left="0" w:right="0" w:hanging="0"/>
              <w:jc w:val="left"/>
              <w:rPr/>
            </w:pPr>
            <w:r>
              <w:rPr/>
              <w:t>​</w:t>
            </w:r>
          </w:p>
        </w:tc>
        <w:tc>
          <w:tcPr>
            <w:tcW w:w="364" w:type="dxa"/>
            <w:tcBorders/>
            <w:vAlign w:val="center"/>
          </w:tcPr>
          <w:p>
            <w:pPr>
              <w:pStyle w:val="TableContents"/>
              <w:bidi w:val="0"/>
              <w:spacing w:before="0" w:after="0"/>
              <w:ind w:left="0" w:right="0" w:hanging="0"/>
              <w:jc w:val="left"/>
              <w:rPr/>
            </w:pPr>
            <w:r>
              <w:rPr/>
              <w:t> </w:t>
            </w:r>
          </w:p>
        </w:tc>
        <w:tc>
          <w:tcPr>
            <w:tcW w:w="11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13,967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left"/>
              <w:rPr/>
            </w:pPr>
            <w:r>
              <w:rPr/>
              <w:t> </w:t>
            </w:r>
          </w:p>
        </w:tc>
        <w:tc>
          <w:tcPr>
            <w:tcW w:w="11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(200)</w:t>
            </w:r>
          </w:p>
        </w:tc>
        <w:tc>
          <w:tcPr>
            <w:tcW w:w="326" w:type="dxa"/>
            <w:tcBorders/>
            <w:vAlign w:val="center"/>
          </w:tcPr>
          <w:p>
            <w:pPr>
              <w:pStyle w:val="TableContents"/>
              <w:bidi w:val="0"/>
              <w:spacing w:before="0" w:after="0"/>
              <w:ind w:left="0" w:right="0" w:hanging="0"/>
              <w:jc w:val="left"/>
              <w:rPr/>
            </w:pPr>
            <w:r>
              <w:rPr/>
              <w:t>​</w:t>
            </w:r>
          </w:p>
        </w:tc>
        <w:tc>
          <w:tcPr>
            <w:tcW w:w="364" w:type="dxa"/>
            <w:tcBorders/>
            <w:vAlign w:val="center"/>
          </w:tcPr>
          <w:p>
            <w:pPr>
              <w:pStyle w:val="TableContents"/>
              <w:bidi w:val="0"/>
              <w:spacing w:before="0" w:after="0"/>
              <w:ind w:left="0" w:right="0" w:hanging="0"/>
              <w:jc w:val="left"/>
              <w:rPr/>
            </w:pPr>
            <w:r>
              <w:rPr/>
              <w:t> </w:t>
            </w:r>
          </w:p>
        </w:tc>
        <w:tc>
          <w:tcPr>
            <w:tcW w:w="11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14,454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(300)</w:t>
            </w:r>
          </w:p>
        </w:tc>
        <w:tc>
          <w:tcPr>
            <w:tcW w:w="326"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left"/>
              <w:rPr/>
            </w:pPr>
            <w:r>
              <w:rPr/>
              <w:t> </w:t>
            </w:r>
          </w:p>
        </w:tc>
        <w:tc>
          <w:tcPr>
            <w:tcW w:w="11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1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table above indicates that as of September 30, 2025, in the event of an immediate and sustained 300 basis point increase in interest rates, our net interest income for the twelve months ending September 30, 2026 would be expected to decrease by $1.9 million, or 13.3% to $12.1 million.</w:t>
      </w:r>
    </w:p>
    <w:p>
      <w:pPr>
        <w:pStyle w:val="TextBody"/>
        <w:bidi w:val="0"/>
        <w:spacing w:before="0" w:after="240"/>
        <w:ind w:left="0" w:right="0" w:hanging="0"/>
        <w:jc w:val="left"/>
        <w:rPr>
          <w:rFonts w:ascii="Times New Roman;Times;serif" w:hAnsi="Times New Roman;Times;serif"/>
          <w:b/>
          <w:sz w:val="20"/>
        </w:rPr>
      </w:pPr>
      <w:bookmarkStart w:id="1733" w:name="Item3QuantitativeandQualitativeDisclosur"/>
      <w:bookmarkStart w:id="1734" w:name="_ecafb136_feaf_4d1a_b576_ac07b1c49896"/>
      <w:bookmarkEnd w:id="1733"/>
      <w:bookmarkEnd w:id="1734"/>
      <w:r>
        <w:rPr>
          <w:rFonts w:ascii="Times New Roman;Times;serif" w:hAnsi="Times New Roman;Times;serif"/>
          <w:b/>
          <w:sz w:val="20"/>
        </w:rPr>
        <w:t>Item 3. Quantitative and Qualitative Disclosures About Market Risk</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information called for by this Item 3 is set forth in Item 2 under the captions “Liquidity and Capital Resources”, “Impact of Inflations and Changes in Prices” and “Exposure to Changes in Interest Rates” and is incorporated herein by reference.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735" w:name="Item4ControlsandProcedures_444664"/>
      <w:bookmarkStart w:id="1736" w:name="_1514cc3d_5823_45cb_8cdf_5fac2ebcb94d"/>
      <w:bookmarkEnd w:id="1735"/>
      <w:bookmarkEnd w:id="1736"/>
      <w:r>
        <w:rPr>
          <w:rFonts w:ascii="Times New Roman;Times;serif" w:hAnsi="Times New Roman;Times;serif"/>
          <w:b/>
          <w:sz w:val="20"/>
        </w:rPr>
        <w:t>Item 4. Controls and Procedures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maintain disclosure controls and procedures that are designed to provide assurance that the information required to be disclosed in the reports files or submitted under the Securities Exchange Act of 1934, as amended, is recorded, processed, summarized, and reported within the time periods specified in the rules and forms of the Commission. An evaluation of the effectiveness of our disclosure controls and procedures at the end of the period covered by this report was carried out under the supervision and with the participation of the management of Hoyne Savings, MHC, including our Chief Executive Officer and Chief Financial Officer. Based on such evaluation, the Chief Executive Officer and the Chief Financial Officer concluded that our disclosure controls and procedures were effective as of the end of such period.</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There were no changes in our internal control over financial reporting during the quarter ended September 30, 2025,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0" w:after="240"/>
        <w:ind w:left="0" w:right="0" w:hanging="0"/>
        <w:jc w:val="center"/>
        <w:rPr/>
      </w:pPr>
      <w:bookmarkStart w:id="1737" w:name="_d773a0b5_f86a_4b0b_a8f1_d7a002fb90ee"/>
      <w:bookmarkEnd w:id="1737"/>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738" w:name="PARTIIOTHERINFORMATION_528217"/>
      <w:bookmarkEnd w:id="1738"/>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b/>
          <w:sz w:val="20"/>
        </w:rPr>
      </w:pPr>
      <w:bookmarkStart w:id="1739" w:name="Item1LegalProceedings_749207"/>
      <w:bookmarkEnd w:id="1739"/>
      <w:r>
        <w:rPr>
          <w:rFonts w:ascii="Times New Roman;Times;serif" w:hAnsi="Times New Roman;Times;serif"/>
          <w:b/>
          <w:sz w:val="20"/>
        </w:rPr>
        <w:t>Item 1. Legal Proceedings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not presently involved in any legal proceedings of a material nature. From time to time, we are subject to various legal actions arising in the normal course of our business. In the opinion of management, the resolution of these legal actions is not expected to have a material adverse effect on our financial condition, results of operations or cash flows.</w:t>
      </w:r>
    </w:p>
    <w:p>
      <w:pPr>
        <w:pStyle w:val="TextBody"/>
        <w:bidi w:val="0"/>
        <w:spacing w:before="0" w:after="240"/>
        <w:ind w:left="0" w:right="0" w:hanging="0"/>
        <w:jc w:val="left"/>
        <w:rPr>
          <w:rFonts w:ascii="Times New Roman;Times;serif" w:hAnsi="Times New Roman;Times;serif"/>
          <w:b/>
          <w:sz w:val="20"/>
        </w:rPr>
      </w:pPr>
      <w:bookmarkStart w:id="1740" w:name="Item1ARiskFactors_752252"/>
      <w:bookmarkStart w:id="1741" w:name="_9937f58c_33b8_43d6_8079_1bbf3a29bf47"/>
      <w:bookmarkEnd w:id="1740"/>
      <w:bookmarkEnd w:id="1741"/>
      <w:r>
        <w:rPr>
          <w:rFonts w:ascii="Times New Roman;Times;serif" w:hAnsi="Times New Roman;Times;serif"/>
          <w:b/>
          <w:sz w:val="20"/>
        </w:rPr>
        <w:t>Item 1A. Risk Factors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were no material changes to the risk factors relevant to our operations as described in the Prospectus beginning on page 15, “Risk Factors.”</w:t>
      </w:r>
    </w:p>
    <w:p>
      <w:pPr>
        <w:pStyle w:val="TextBody"/>
        <w:bidi w:val="0"/>
        <w:spacing w:before="0" w:after="240"/>
        <w:ind w:left="0" w:right="0" w:hanging="0"/>
        <w:jc w:val="left"/>
        <w:rPr>
          <w:rFonts w:ascii="Times New Roman;Times;serif" w:hAnsi="Times New Roman;Times;serif"/>
          <w:b/>
          <w:sz w:val="20"/>
        </w:rPr>
      </w:pPr>
      <w:bookmarkStart w:id="1742" w:name="Item2UnregisteredSalesofEquitySecurities"/>
      <w:bookmarkStart w:id="1743" w:name="_cbbc350c_83b0_4ed5_aba1_c696cef9c210"/>
      <w:bookmarkEnd w:id="1742"/>
      <w:bookmarkEnd w:id="1743"/>
      <w:r>
        <w:rPr>
          <w:rFonts w:ascii="Times New Roman;Times;serif" w:hAnsi="Times New Roman;Times;serif"/>
          <w:b/>
          <w:sz w:val="20"/>
        </w:rPr>
        <w:t>Item 2. Unregistered Sales of Equity Securities and Use of Proceeds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744" w:name="Item3DefaultsUponSeniorSecurities_553177"/>
      <w:bookmarkStart w:id="1745" w:name="_98fd1aa1_c74e_46b7_b59f_3705a6ef9ca0"/>
      <w:bookmarkEnd w:id="1744"/>
      <w:bookmarkEnd w:id="1745"/>
      <w:r>
        <w:rPr>
          <w:rFonts w:ascii="Times New Roman;Times;serif" w:hAnsi="Times New Roman;Times;serif"/>
          <w:b/>
          <w:sz w:val="20"/>
        </w:rPr>
        <w:t>Item 3. Defaults Upon Senior Securities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746" w:name="Item4MineSafetyDisclosures_930077"/>
      <w:bookmarkStart w:id="1747" w:name="_72fbebac_a0ee_485b_8746_c0964fa10793"/>
      <w:bookmarkEnd w:id="1746"/>
      <w:bookmarkEnd w:id="1747"/>
      <w:r>
        <w:rPr>
          <w:rFonts w:ascii="Times New Roman;Times;serif" w:hAnsi="Times New Roman;Times;serif"/>
          <w:b/>
          <w:sz w:val="20"/>
        </w:rPr>
        <w:t>Item 4. Mine Safety Disclosures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748" w:name="Item5OtherInformation_933411"/>
      <w:bookmarkStart w:id="1749" w:name="_0766a0de_36e8_4311_afae_29196bc864bf"/>
      <w:bookmarkEnd w:id="1748"/>
      <w:bookmarkEnd w:id="1749"/>
      <w:r>
        <w:rPr>
          <w:rFonts w:ascii="Times New Roman;Times;serif" w:hAnsi="Times New Roman;Times;serif"/>
          <w:b/>
          <w:sz w:val="20"/>
        </w:rPr>
        <w:t>Item 5. Other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caps/>
          <w:sz w:val="20"/>
        </w:rPr>
      </w:pPr>
      <w:bookmarkStart w:id="1750" w:name="ITEM6EXHIBITS_639217"/>
      <w:bookmarkStart w:id="1751" w:name="_562a7ade_9938_4e6f_bc07_fca4751063a9"/>
      <w:bookmarkEnd w:id="1750"/>
      <w:bookmarkEnd w:id="1751"/>
      <w:r>
        <w:rPr>
          <w:rFonts w:ascii="Times New Roman;Times;serif" w:hAnsi="Times New Roman;Times;serif"/>
          <w:b/>
          <w:caps/>
          <w:sz w:val="20"/>
        </w:rPr>
        <w:t>Item 6. Exhibits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See Exhibit Index.</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752" w:name="EXHIBITINDEX_234133"/>
      <w:bookmarkStart w:id="1753" w:name="_545e956a_3cff_4d1a_b613_b070faef749e"/>
      <w:bookmarkEnd w:id="1752"/>
      <w:bookmarkEnd w:id="1753"/>
      <w:r>
        <w:rPr>
          <w:rFonts w:ascii="Times New Roman;Times;serif" w:hAnsi="Times New Roman;Times;serif"/>
          <w:b/>
          <w:sz w:val="20"/>
        </w:rPr>
        <w:t>EXHIBIT INDEX</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18"/>
        <w:gridCol w:w="326"/>
        <w:gridCol w:w="8961"/>
      </w:tblGrid>
      <w:tr>
        <w:trPr/>
        <w:tc>
          <w:tcPr>
            <w:tcW w:w="9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582930" cy="175260"/>
                      <wp:effectExtent l="0" t="0" r="0" b="0"/>
                      <wp:wrapNone/>
                      <wp:docPr id="423" name="Frame422"/>
                      <a:graphic xmlns:a="http://schemas.openxmlformats.org/drawingml/2006/main">
                        <a:graphicData uri="http://schemas.microsoft.com/office/word/2010/wordprocessingShape">
                          <wps:wsp>
                            <wps:cNvSpPr txBox="1"/>
                            <wps:spPr>
                              <a:xfrm>
                                <a:off x="0" y="0"/>
                                <a:ext cx="582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8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5690235" cy="175260"/>
                      <wp:effectExtent l="0" t="0" r="0" b="0"/>
                      <wp:wrapNone/>
                      <wp:docPr id="424" name="Frame423"/>
                      <a:graphic xmlns:a="http://schemas.openxmlformats.org/drawingml/2006/main">
                        <a:graphicData uri="http://schemas.microsoft.com/office/word/2010/wordprocessingShape">
                          <wps:wsp>
                            <wps:cNvSpPr txBox="1"/>
                            <wps:spPr>
                              <a:xfrm>
                                <a:off x="0" y="0"/>
                                <a:ext cx="569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1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Exhibit</w:t>
            </w:r>
            <w:r>
              <w:rPr>
                <w:rFonts w:ascii="Times New Roman;Times;serif" w:hAnsi="Times New Roman;Times;serif"/>
                <w:sz w:val="20"/>
              </w:rPr>
              <w:t xml:space="preserve"> </w:t>
            </w:r>
            <w:r>
              <w:rPr>
                <w:rFonts w:ascii="Times New Roman;Times;serif" w:hAnsi="Times New Roman;Times;serif"/>
                <w:b/>
                <w:sz w:val="20"/>
              </w:rPr>
              <w:t>No.</w:t>
            </w:r>
          </w:p>
        </w:tc>
        <w:tc>
          <w:tcPr>
            <w:tcW w:w="326" w:type="dxa"/>
            <w:tcBorders/>
            <w:vAlign w:val="center"/>
          </w:tcPr>
          <w:p>
            <w:pPr>
              <w:pStyle w:val="TableContents"/>
              <w:bidi w:val="0"/>
              <w:spacing w:before="0" w:after="0"/>
              <w:ind w:left="0" w:right="0" w:hanging="0"/>
              <w:jc w:val="left"/>
              <w:rPr/>
            </w:pPr>
            <w:r>
              <w:rPr/>
              <w:t>    </w:t>
            </w:r>
          </w:p>
        </w:tc>
        <w:tc>
          <w:tcPr>
            <w:tcW w:w="89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918"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6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9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w:t>
            </w:r>
          </w:p>
        </w:tc>
        <w:tc>
          <w:tcPr>
            <w:tcW w:w="8961"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Certificate of Incorporation of Hoyne Bancorp, Inc. (as incorporated by reference to Exhibit 3.1 to the Company’s Registration Statement on Form S-1, as amended (Commission File No. 333-288102</w:t>
              </w:r>
            </w:hyperlink>
            <w:r>
              <w:rPr>
                <w:rFonts w:ascii="Times New Roman;Times;serif" w:hAnsi="Times New Roman;Times;serif"/>
                <w:sz w:val="20"/>
              </w:rPr>
              <w:t>))</w:t>
            </w:r>
          </w:p>
        </w:tc>
      </w:tr>
      <w:tr>
        <w:trPr/>
        <w:tc>
          <w:tcPr>
            <w:tcW w:w="9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8961"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Bylaws of Hoyne Bancorp, Inc. (as incorporated by reference to Exhibit 3.2 to the Company’s Registration Statement on Form S-1, as amended (Commission File No. 333-288102</w:t>
              </w:r>
            </w:hyperlink>
            <w:r>
              <w:rPr>
                <w:rFonts w:ascii="Times New Roman;Times;serif" w:hAnsi="Times New Roman;Times;serif"/>
                <w:sz w:val="20"/>
              </w:rPr>
              <w:t>))</w:t>
            </w:r>
          </w:p>
        </w:tc>
      </w:tr>
      <w:tr>
        <w:trPr/>
        <w:tc>
          <w:tcPr>
            <w:tcW w:w="9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0"/>
              <w:ind w:left="0" w:right="0" w:hanging="0"/>
              <w:jc w:val="left"/>
              <w:rPr/>
            </w:pPr>
            <w:r>
              <w:rPr/>
              <w:t>​</w:t>
            </w:r>
          </w:p>
        </w:tc>
        <w:tc>
          <w:tcPr>
            <w:tcW w:w="8961" w:type="dxa"/>
            <w:tcBorders/>
            <w:vAlign w:val="center"/>
          </w:tcPr>
          <w:p>
            <w:pPr>
              <w:pStyle w:val="TableContents"/>
              <w:bidi w:val="0"/>
              <w:spacing w:before="0" w:after="0"/>
              <w:ind w:left="0" w:right="0" w:hanging="0"/>
              <w:jc w:val="left"/>
              <w:rPr/>
            </w:pPr>
            <w:hyperlink w:anchor="hyne-20250930xex31d1.htm">
              <w:r>
                <w:rPr>
                  <w:rStyle w:val="InternetLink"/>
                  <w:rFonts w:ascii="Times New Roman;Times;serif" w:hAnsi="Times New Roman;Times;serif"/>
                  <w:b w:val="false"/>
                  <w:i w:val="false"/>
                  <w:caps w:val="false"/>
                  <w:smallCaps w:val="false"/>
                  <w:sz w:val="20"/>
                </w:rPr>
                <w:t>Certification of Chief Executive Officer Pursuant to Section 302 of the Sarbanes-Oxley Act of 2002</w:t>
              </w:r>
            </w:hyperlink>
          </w:p>
        </w:tc>
      </w:tr>
      <w:tr>
        <w:trPr/>
        <w:tc>
          <w:tcPr>
            <w:tcW w:w="9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bidi w:val="0"/>
              <w:spacing w:before="0" w:after="0"/>
              <w:ind w:left="0" w:right="0" w:hanging="0"/>
              <w:jc w:val="left"/>
              <w:rPr/>
            </w:pPr>
            <w:r>
              <w:rPr/>
              <w:t>​</w:t>
            </w:r>
          </w:p>
        </w:tc>
        <w:tc>
          <w:tcPr>
            <w:tcW w:w="8961" w:type="dxa"/>
            <w:tcBorders/>
            <w:vAlign w:val="center"/>
          </w:tcPr>
          <w:p>
            <w:pPr>
              <w:pStyle w:val="TableContents"/>
              <w:bidi w:val="0"/>
              <w:spacing w:before="0" w:after="0"/>
              <w:ind w:left="0" w:right="0" w:hanging="0"/>
              <w:jc w:val="left"/>
              <w:rPr/>
            </w:pPr>
            <w:hyperlink w:anchor="hyne-20250930xex31d2.htm">
              <w:r>
                <w:rPr>
                  <w:rStyle w:val="InternetLink"/>
                  <w:rFonts w:ascii="Times New Roman;Times;serif" w:hAnsi="Times New Roman;Times;serif"/>
                  <w:b w:val="false"/>
                  <w:i w:val="false"/>
                  <w:caps w:val="false"/>
                  <w:smallCaps w:val="false"/>
                  <w:sz w:val="20"/>
                </w:rPr>
                <w:t>Certification of Chief Financial Officer Pursuant to Section 302 of the Sarbanes-Oxley Act of 2002</w:t>
              </w:r>
            </w:hyperlink>
          </w:p>
        </w:tc>
      </w:tr>
      <w:tr>
        <w:trPr/>
        <w:tc>
          <w:tcPr>
            <w:tcW w:w="9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0" w:after="0"/>
              <w:ind w:left="0" w:right="0" w:hanging="0"/>
              <w:jc w:val="left"/>
              <w:rPr/>
            </w:pPr>
            <w:r>
              <w:rPr/>
              <w:t>​</w:t>
            </w:r>
          </w:p>
        </w:tc>
        <w:tc>
          <w:tcPr>
            <w:tcW w:w="8961" w:type="dxa"/>
            <w:tcBorders/>
            <w:vAlign w:val="center"/>
          </w:tcPr>
          <w:p>
            <w:pPr>
              <w:pStyle w:val="TableContents"/>
              <w:bidi w:val="0"/>
              <w:spacing w:before="0" w:after="0"/>
              <w:ind w:left="0" w:right="0" w:hanging="0"/>
              <w:jc w:val="left"/>
              <w:rPr/>
            </w:pPr>
            <w:hyperlink w:anchor="hyne-20250930xex32d1.htm">
              <w:r>
                <w:rPr>
                  <w:rStyle w:val="InternetLink"/>
                  <w:rFonts w:ascii="Times New Roman;Times;serif" w:hAnsi="Times New Roman;Times;serif"/>
                  <w:b w:val="false"/>
                  <w:i w:val="false"/>
                  <w:caps w:val="false"/>
                  <w:smallCaps w:val="false"/>
                  <w:sz w:val="20"/>
                </w:rPr>
                <w:t>Certification of Chief Executive Officer and Chief Financial Officer Pursuant to 18 U.S.C. Section 1350, as adopted pursuant to Section 906 of the Sarbanes-Oxley Act of 2002</w:t>
              </w:r>
            </w:hyperlink>
          </w:p>
        </w:tc>
      </w:tr>
      <w:tr>
        <w:trPr/>
        <w:tc>
          <w:tcPr>
            <w:tcW w:w="9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26" w:type="dxa"/>
            <w:tcBorders/>
            <w:vAlign w:val="center"/>
          </w:tcPr>
          <w:p>
            <w:pPr>
              <w:pStyle w:val="TableContents"/>
              <w:bidi w:val="0"/>
              <w:spacing w:before="0" w:after="0"/>
              <w:ind w:left="0" w:right="0" w:hanging="0"/>
              <w:jc w:val="left"/>
              <w:rPr/>
            </w:pPr>
            <w:r>
              <w:rPr/>
              <w:t>​</w:t>
            </w:r>
          </w:p>
        </w:tc>
        <w:tc>
          <w:tcPr>
            <w:tcW w:w="8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Instance Document – the instance document does not appear in the Interactive Data File because its XBRL tags are embedded within the Inline XBRL document</w:t>
            </w:r>
          </w:p>
        </w:tc>
      </w:tr>
      <w:tr>
        <w:trPr/>
        <w:tc>
          <w:tcPr>
            <w:tcW w:w="9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26" w:type="dxa"/>
            <w:tcBorders/>
            <w:vAlign w:val="center"/>
          </w:tcPr>
          <w:p>
            <w:pPr>
              <w:pStyle w:val="TableContents"/>
              <w:bidi w:val="0"/>
              <w:spacing w:before="0" w:after="0"/>
              <w:ind w:left="0" w:right="0" w:hanging="0"/>
              <w:jc w:val="left"/>
              <w:rPr/>
            </w:pPr>
            <w:r>
              <w:rPr/>
              <w:t>​</w:t>
            </w:r>
          </w:p>
        </w:tc>
        <w:tc>
          <w:tcPr>
            <w:tcW w:w="8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Schema Document</w:t>
            </w:r>
          </w:p>
        </w:tc>
      </w:tr>
      <w:tr>
        <w:trPr/>
        <w:tc>
          <w:tcPr>
            <w:tcW w:w="9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26" w:type="dxa"/>
            <w:tcBorders/>
            <w:vAlign w:val="center"/>
          </w:tcPr>
          <w:p>
            <w:pPr>
              <w:pStyle w:val="TableContents"/>
              <w:bidi w:val="0"/>
              <w:spacing w:before="0" w:after="0"/>
              <w:ind w:left="0" w:right="0" w:hanging="0"/>
              <w:jc w:val="left"/>
              <w:rPr/>
            </w:pPr>
            <w:r>
              <w:rPr/>
              <w:t>​</w:t>
            </w:r>
          </w:p>
        </w:tc>
        <w:tc>
          <w:tcPr>
            <w:tcW w:w="8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Calculation Linkbase Document</w:t>
            </w:r>
          </w:p>
        </w:tc>
      </w:tr>
      <w:tr>
        <w:trPr/>
        <w:tc>
          <w:tcPr>
            <w:tcW w:w="9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26" w:type="dxa"/>
            <w:tcBorders/>
            <w:vAlign w:val="center"/>
          </w:tcPr>
          <w:p>
            <w:pPr>
              <w:pStyle w:val="TableContents"/>
              <w:bidi w:val="0"/>
              <w:spacing w:before="0" w:after="0"/>
              <w:ind w:left="0" w:right="0" w:hanging="0"/>
              <w:jc w:val="left"/>
              <w:rPr/>
            </w:pPr>
            <w:r>
              <w:rPr/>
              <w:t>​</w:t>
            </w:r>
          </w:p>
        </w:tc>
        <w:tc>
          <w:tcPr>
            <w:tcW w:w="8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Definition Linkbase Document</w:t>
            </w:r>
          </w:p>
        </w:tc>
      </w:tr>
      <w:tr>
        <w:trPr/>
        <w:tc>
          <w:tcPr>
            <w:tcW w:w="9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26" w:type="dxa"/>
            <w:tcBorders/>
            <w:vAlign w:val="center"/>
          </w:tcPr>
          <w:p>
            <w:pPr>
              <w:pStyle w:val="TableContents"/>
              <w:bidi w:val="0"/>
              <w:spacing w:before="0" w:after="0"/>
              <w:ind w:left="0" w:right="0" w:hanging="0"/>
              <w:jc w:val="left"/>
              <w:rPr/>
            </w:pPr>
            <w:r>
              <w:rPr/>
              <w:t>​</w:t>
            </w:r>
          </w:p>
        </w:tc>
        <w:tc>
          <w:tcPr>
            <w:tcW w:w="8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Label Linkbase Document</w:t>
            </w:r>
          </w:p>
        </w:tc>
      </w:tr>
      <w:tr>
        <w:trPr/>
        <w:tc>
          <w:tcPr>
            <w:tcW w:w="9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26" w:type="dxa"/>
            <w:tcBorders/>
            <w:vAlign w:val="center"/>
          </w:tcPr>
          <w:p>
            <w:pPr>
              <w:pStyle w:val="TableContents"/>
              <w:bidi w:val="0"/>
              <w:spacing w:before="0" w:after="0"/>
              <w:ind w:left="0" w:right="0" w:hanging="0"/>
              <w:jc w:val="left"/>
              <w:rPr/>
            </w:pPr>
            <w:r>
              <w:rPr/>
              <w:t>​</w:t>
            </w:r>
          </w:p>
        </w:tc>
        <w:tc>
          <w:tcPr>
            <w:tcW w:w="8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Presentation Linkbase Document</w:t>
            </w:r>
          </w:p>
        </w:tc>
      </w:tr>
      <w:tr>
        <w:trPr/>
        <w:tc>
          <w:tcPr>
            <w:tcW w:w="9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left"/>
              <w:rPr/>
            </w:pPr>
            <w:r>
              <w:rPr/>
              <w:t>​</w:t>
            </w:r>
          </w:p>
        </w:tc>
        <w:tc>
          <w:tcPr>
            <w:tcW w:w="8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in Inline XBRL and contained in Exhibit 101)</w:t>
            </w:r>
          </w:p>
        </w:tc>
      </w:tr>
    </w:tbl>
    <w:p>
      <w:pPr>
        <w:pStyle w:val="TextBody"/>
        <w:pBdr/>
        <w:bidi w:val="0"/>
        <w:spacing w:before="0" w:after="240"/>
        <w:ind w:left="0" w:right="0" w:hanging="36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certification attached as Exhibit 32.1 to this quarterly report on Form 10-Q is “furnished” to the Securities and Exchange Commission pursuant to Section 906 of the Sarbanes-Oxley Act of 2002 and shall not be deemed “filed” by the Registrant for the purposes of Section 18 of the Securities Exchange Act of 1934, as amended.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1754" w:name="SIGNATURES_336995"/>
      <w:bookmarkStart w:id="1755" w:name="_d4f29214_335c_4fae_a0aa_4437d90d4d62"/>
      <w:bookmarkEnd w:id="1754"/>
      <w:bookmarkEnd w:id="1755"/>
      <w:r>
        <w:rPr>
          <w:rFonts w:ascii="Times New Roman;Times;serif" w:hAnsi="Times New Roman;Times;serif"/>
          <w:b/>
          <w:sz w:val="20"/>
        </w:rPr>
        <w:t>SIGNATURES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duly authorized.</w:t>
      </w:r>
    </w:p>
    <w:tbl>
      <w:tblPr>
        <w:tblW w:w="7158" w:type="dxa"/>
        <w:jc w:val="left"/>
        <w:tblInd w:w="0" w:type="dxa"/>
        <w:tblLayout w:type="fixed"/>
        <w:tblCellMar>
          <w:top w:w="0" w:type="dxa"/>
          <w:left w:w="0" w:type="dxa"/>
          <w:bottom w:w="0" w:type="dxa"/>
          <w:right w:w="0" w:type="dxa"/>
        </w:tblCellMar>
      </w:tblPr>
      <w:tblGrid>
        <w:gridCol w:w="2206"/>
        <w:gridCol w:w="406"/>
        <w:gridCol w:w="4546"/>
      </w:tblGrid>
      <w:tr>
        <w:trPr/>
        <w:tc>
          <w:tcPr>
            <w:tcW w:w="2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1400810" cy="175260"/>
                      <wp:effectExtent l="0" t="0" r="0" b="0"/>
                      <wp:wrapNone/>
                      <wp:docPr id="425" name="Frame424"/>
                      <a:graphic xmlns:a="http://schemas.openxmlformats.org/drawingml/2006/main">
                        <a:graphicData uri="http://schemas.microsoft.com/office/word/2010/wordprocessingShape">
                          <wps:wsp>
                            <wps:cNvSpPr txBox="1"/>
                            <wps:spPr>
                              <a:xfrm>
                                <a:off x="0" y="0"/>
                                <a:ext cx="140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57810" cy="175260"/>
                      <wp:effectExtent l="0" t="0" r="0" b="0"/>
                      <wp:wrapNone/>
                      <wp:docPr id="426" name="Frame425"/>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886710" cy="175260"/>
                      <wp:effectExtent l="0" t="0" r="0" b="0"/>
                      <wp:wrapNone/>
                      <wp:docPr id="427" name="Frame426"/>
                      <a:graphic xmlns:a="http://schemas.openxmlformats.org/drawingml/2006/main">
                        <a:graphicData uri="http://schemas.microsoft.com/office/word/2010/wordprocessingShape">
                          <wps:wsp>
                            <wps:cNvSpPr txBox="1"/>
                            <wps:spPr>
                              <a:xfrm>
                                <a:off x="0" y="0"/>
                                <a:ext cx="2886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13, 2025</w:t>
            </w:r>
          </w:p>
        </w:tc>
        <w:tc>
          <w:tcPr>
            <w:tcW w:w="4952" w:type="dxa"/>
            <w:gridSpan w:val="2"/>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pPr>
            <w:r>
              <w:rPr/>
              <w:t>​</w:t>
            </w:r>
          </w:p>
        </w:tc>
        <w:tc>
          <w:tcPr>
            <w:tcW w:w="4952" w:type="dxa"/>
            <w:gridSpan w:val="2"/>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pPr>
            <w:r>
              <w:rPr/>
              <w:t>​</w:t>
            </w:r>
          </w:p>
        </w:tc>
        <w:tc>
          <w:tcPr>
            <w:tcW w:w="495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HOYNE BANCORP, INC.</w:t>
            </w:r>
          </w:p>
        </w:tc>
      </w:tr>
      <w:tr>
        <w:trPr/>
        <w:tc>
          <w:tcPr>
            <w:tcW w:w="2206" w:type="dxa"/>
            <w:tcBorders/>
            <w:vAlign w:val="center"/>
          </w:tcPr>
          <w:p>
            <w:pPr>
              <w:pStyle w:val="TableContents"/>
              <w:bidi w:val="0"/>
              <w:spacing w:before="0" w:after="0"/>
              <w:ind w:left="0" w:right="0" w:hanging="0"/>
              <w:jc w:val="left"/>
              <w:rPr/>
            </w:pPr>
            <w:r>
              <w:rPr/>
              <w:t>​</w:t>
            </w:r>
          </w:p>
        </w:tc>
        <w:tc>
          <w:tcPr>
            <w:tcW w:w="4952" w:type="dxa"/>
            <w:gridSpan w:val="2"/>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pPr>
            <w:r>
              <w:rPr/>
              <w:t>​</w:t>
            </w:r>
          </w:p>
        </w:tc>
        <w:tc>
          <w:tcPr>
            <w:tcW w:w="4952" w:type="dxa"/>
            <w:gridSpan w:val="2"/>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5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Walter F. Healy</w:t>
            </w:r>
          </w:p>
        </w:tc>
      </w:tr>
      <w:tr>
        <w:trPr/>
        <w:tc>
          <w:tcPr>
            <w:tcW w:w="22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5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Walter F. Healy</w:t>
            </w:r>
          </w:p>
        </w:tc>
      </w:tr>
      <w:tr>
        <w:trPr/>
        <w:tc>
          <w:tcPr>
            <w:tcW w:w="22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22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(Duly Authorized Representative)</w:t>
            </w:r>
          </w:p>
        </w:tc>
      </w:tr>
      <w:tr>
        <w:trPr/>
        <w:tc>
          <w:tcPr>
            <w:tcW w:w="22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546" w:type="dxa"/>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546" w:type="dxa"/>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5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Thomas S. Manfre</w:t>
            </w:r>
          </w:p>
        </w:tc>
      </w:tr>
      <w:tr>
        <w:trPr/>
        <w:tc>
          <w:tcPr>
            <w:tcW w:w="22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5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S. Manfre</w:t>
            </w:r>
          </w:p>
        </w:tc>
      </w:tr>
      <w:tr>
        <w:trPr/>
        <w:tc>
          <w:tcPr>
            <w:tcW w:w="22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2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Principal Accounting Officer)</w:t>
            </w:r>
          </w:p>
        </w:tc>
      </w:tr>
      <w:tr>
        <w:trPr/>
        <w:tc>
          <w:tcPr>
            <w:tcW w:w="22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54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0"/>
        <w:ind w:left="0" w:right="0" w:hanging="0"/>
        <w:jc w:val="right"/>
        <w:rPr>
          <w:rFonts w:ascii="Times New Roman;Times;serif" w:hAnsi="Times New Roman;Times;serif"/>
          <w:b/>
          <w:sz w:val="20"/>
        </w:rPr>
      </w:pPr>
      <w:bookmarkStart w:id="1756" w:name="hyne-20250930xex31d1.htm"/>
      <w:bookmarkStart w:id="1757" w:name="kshyne20250930xex31d1"/>
      <w:bookmarkEnd w:id="1756"/>
      <w:bookmarkEnd w:id="1757"/>
      <w:r>
        <w:rPr>
          <w:rFonts w:ascii="Times New Roman;Times;serif" w:hAnsi="Times New Roman;Times;serif"/>
          <w:b/>
          <w:sz w:val="20"/>
        </w:rPr>
        <w:t>Exhibit 31.1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before="0" w:after="0"/>
        <w:ind w:left="0" w:right="0" w:hanging="0"/>
        <w:jc w:val="center"/>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 Walter F. Healy, certify that:</w:t>
      </w:r>
    </w:p>
    <w:tbl>
      <w:tblPr>
        <w:tblW w:w="7833" w:type="dxa"/>
        <w:jc w:val="left"/>
        <w:tblInd w:w="0" w:type="dxa"/>
        <w:tblLayout w:type="fixed"/>
        <w:tblCellMar>
          <w:top w:w="0" w:type="dxa"/>
          <w:left w:w="0" w:type="dxa"/>
          <w:bottom w:w="0" w:type="dxa"/>
          <w:right w:w="0" w:type="dxa"/>
        </w:tblCellMar>
      </w:tblPr>
      <w:tblGrid>
        <w:gridCol w:w="23"/>
        <w:gridCol w:w="170"/>
        <w:gridCol w:w="76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1.</w:t>
            </w:r>
          </w:p>
        </w:tc>
        <w:tc>
          <w:tcPr>
            <w:tcW w:w="764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I have reviewed this Quarterly Report on Form 10-Q of Hoyne Bancorp, Inc (the “Registrant”);</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9"/>
        <w:gridCol w:w="10033"/>
      </w:tblGrid>
      <w:tr>
        <w:trPr/>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4.</w:t>
            </w:r>
          </w:p>
        </w:tc>
        <w:tc>
          <w:tcPr>
            <w:tcW w:w="10033"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Designed such disclosure controls and procedures, or caused or caused such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5973" w:type="dxa"/>
        <w:jc w:val="left"/>
        <w:tblInd w:w="0" w:type="dxa"/>
        <w:tblLayout w:type="fixed"/>
        <w:tblCellMar>
          <w:top w:w="0" w:type="dxa"/>
          <w:left w:w="0" w:type="dxa"/>
          <w:bottom w:w="0" w:type="dxa"/>
          <w:right w:w="0" w:type="dxa"/>
        </w:tblCellMar>
      </w:tblPr>
      <w:tblGrid>
        <w:gridCol w:w="23"/>
        <w:gridCol w:w="245"/>
        <w:gridCol w:w="570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(b)</w:t>
            </w:r>
          </w:p>
        </w:tc>
        <w:tc>
          <w:tcPr>
            <w:tcW w:w="570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[Paragraph omitted in accordance with Exchange Act Rule 13a-14(a)];</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8"/>
        <w:gridCol w:w="10034"/>
      </w:tblGrid>
      <w:tr>
        <w:trPr/>
        <w:tc>
          <w:tcPr>
            <w:tcW w:w="2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5.</w:t>
            </w:r>
          </w:p>
        </w:tc>
        <w:tc>
          <w:tcPr>
            <w:tcW w:w="10034"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Registrant’s board of directors: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5193" w:type="dxa"/>
        <w:jc w:val="left"/>
        <w:tblInd w:w="0" w:type="dxa"/>
        <w:tblLayout w:type="fixed"/>
        <w:tblCellMar>
          <w:top w:w="0" w:type="dxa"/>
          <w:left w:w="0" w:type="dxa"/>
          <w:bottom w:w="0" w:type="dxa"/>
          <w:right w:w="0" w:type="dxa"/>
        </w:tblCellMar>
      </w:tblPr>
      <w:tblGrid>
        <w:gridCol w:w="2311"/>
        <w:gridCol w:w="406"/>
        <w:gridCol w:w="247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1467485" cy="175260"/>
                      <wp:effectExtent l="0" t="0" r="0" b="0"/>
                      <wp:wrapNone/>
                      <wp:docPr id="428" name="Frame427"/>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1572260" cy="175260"/>
                      <wp:effectExtent l="0" t="0" r="0" b="0"/>
                      <wp:wrapNone/>
                      <wp:docPr id="429" name="Frame428"/>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November 13, 2025</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Walter F. Healy</w:t>
            </w:r>
          </w:p>
        </w:tc>
      </w:tr>
      <w:tr>
        <w:trPr/>
        <w:tc>
          <w:tcPr>
            <w:tcW w:w="23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/s/Walter F. Healy</w:t>
            </w:r>
          </w:p>
        </w:tc>
      </w:tr>
      <w:tr>
        <w:trPr/>
        <w:tc>
          <w:tcPr>
            <w:tcW w:w="23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23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758" w:name="hyne-20250930xex31d2.htm"/>
      <w:bookmarkStart w:id="1759" w:name="kshyne20250930xex31d2"/>
      <w:bookmarkEnd w:id="1758"/>
      <w:bookmarkEnd w:id="1759"/>
      <w:r>
        <w:rPr>
          <w:rFonts w:ascii="Times New Roman;Times;serif" w:hAnsi="Times New Roman;Times;serif"/>
          <w:b/>
          <w:sz w:val="20"/>
        </w:rPr>
        <w:t>Exhibit 31.2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 Thomas S. Manfre, certify that:</w:t>
      </w:r>
    </w:p>
    <w:tbl>
      <w:tblPr>
        <w:tblW w:w="7833" w:type="dxa"/>
        <w:jc w:val="left"/>
        <w:tblInd w:w="0" w:type="dxa"/>
        <w:tblLayout w:type="fixed"/>
        <w:tblCellMar>
          <w:top w:w="0" w:type="dxa"/>
          <w:left w:w="0" w:type="dxa"/>
          <w:bottom w:w="0" w:type="dxa"/>
          <w:right w:w="0" w:type="dxa"/>
        </w:tblCellMar>
      </w:tblPr>
      <w:tblGrid>
        <w:gridCol w:w="23"/>
        <w:gridCol w:w="170"/>
        <w:gridCol w:w="76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1.</w:t>
            </w:r>
          </w:p>
        </w:tc>
        <w:tc>
          <w:tcPr>
            <w:tcW w:w="764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I have reviewed this Quarterly Report on Form 10-Q of Hoyne Bancorp, Inc (the “Registrant”);</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9"/>
        <w:gridCol w:w="10033"/>
      </w:tblGrid>
      <w:tr>
        <w:trPr/>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4.</w:t>
            </w:r>
          </w:p>
        </w:tc>
        <w:tc>
          <w:tcPr>
            <w:tcW w:w="10033"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Designed such disclosure controls and procedures, or caused or caused such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5973" w:type="dxa"/>
        <w:jc w:val="left"/>
        <w:tblInd w:w="0" w:type="dxa"/>
        <w:tblLayout w:type="fixed"/>
        <w:tblCellMar>
          <w:top w:w="0" w:type="dxa"/>
          <w:left w:w="0" w:type="dxa"/>
          <w:bottom w:w="0" w:type="dxa"/>
          <w:right w:w="0" w:type="dxa"/>
        </w:tblCellMar>
      </w:tblPr>
      <w:tblGrid>
        <w:gridCol w:w="23"/>
        <w:gridCol w:w="245"/>
        <w:gridCol w:w="570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(b)</w:t>
            </w:r>
          </w:p>
        </w:tc>
        <w:tc>
          <w:tcPr>
            <w:tcW w:w="570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[Paragraph omitted in accordance with Exchange Act Rule 13a-14(a)];</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8"/>
        <w:gridCol w:w="10034"/>
      </w:tblGrid>
      <w:tr>
        <w:trPr/>
        <w:tc>
          <w:tcPr>
            <w:tcW w:w="2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5.</w:t>
            </w:r>
          </w:p>
        </w:tc>
        <w:tc>
          <w:tcPr>
            <w:tcW w:w="10034"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Registrant’s board of directors: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5133" w:type="dxa"/>
        <w:jc w:val="left"/>
        <w:tblInd w:w="0" w:type="dxa"/>
        <w:tblLayout w:type="fixed"/>
        <w:tblCellMar>
          <w:top w:w="0" w:type="dxa"/>
          <w:left w:w="0" w:type="dxa"/>
          <w:bottom w:w="0" w:type="dxa"/>
          <w:right w:w="0" w:type="dxa"/>
        </w:tblCellMar>
      </w:tblPr>
      <w:tblGrid>
        <w:gridCol w:w="2311"/>
        <w:gridCol w:w="406"/>
        <w:gridCol w:w="241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1467485" cy="175260"/>
                      <wp:effectExtent l="0" t="0" r="0" b="0"/>
                      <wp:wrapNone/>
                      <wp:docPr id="430" name="Frame429"/>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1534160" cy="175260"/>
                      <wp:effectExtent l="0" t="0" r="0" b="0"/>
                      <wp:wrapNone/>
                      <wp:docPr id="431" name="Frame430"/>
                      <a:graphic xmlns:a="http://schemas.openxmlformats.org/drawingml/2006/main">
                        <a:graphicData uri="http://schemas.microsoft.com/office/word/2010/wordprocessingShape">
                          <wps:wsp>
                            <wps:cNvSpPr txBox="1"/>
                            <wps:spPr>
                              <a:xfrm>
                                <a:off x="0" y="0"/>
                                <a:ext cx="153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November 13, 2025</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S. Manfre</w:t>
            </w:r>
          </w:p>
        </w:tc>
      </w:tr>
      <w:tr>
        <w:trPr/>
        <w:tc>
          <w:tcPr>
            <w:tcW w:w="23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Thomas S. Manfre</w:t>
            </w:r>
          </w:p>
        </w:tc>
      </w:tr>
      <w:tr>
        <w:trPr/>
        <w:tc>
          <w:tcPr>
            <w:tcW w:w="23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3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760" w:name="hyne-20250930xex32d1.htm"/>
      <w:bookmarkStart w:id="1761" w:name="kshyne20250930xex32d1"/>
      <w:bookmarkEnd w:id="1760"/>
      <w:bookmarkEnd w:id="1761"/>
      <w:r>
        <w:rPr>
          <w:rFonts w:ascii="Times New Roman;Times;serif" w:hAnsi="Times New Roman;Times;serif"/>
          <w:b/>
          <w:sz w:val="20"/>
        </w:rPr>
        <w:t>Exhibit 32.1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 and Principal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Walter F. Healy, Principal Executive Officer of Hoyne Bancorp, Inc. (the “Company”), and Thomas S. Manfre, Principal Financial Officer of the Company, each hereby certifies in his capacity as an officer of the Company that he has reviewed the Company’s Quarterly Report on Form 10-Q for the quarter ended September 30, 2025 as filed with the Securities and Exchange Commission on the date hereof (the “Report”), and that to the best of his knowledge:</w:t>
      </w:r>
    </w:p>
    <w:p>
      <w:pPr>
        <w:pStyle w:val="TextBody"/>
        <w:bidi w:val="0"/>
        <w:spacing w:before="0" w:after="0"/>
        <w:ind w:left="0" w:right="0" w:hanging="0"/>
        <w:jc w:val="left"/>
        <w:rPr/>
      </w:pPr>
      <w:r>
        <w:rPr/>
        <w:t>​</w:t>
      </w:r>
    </w:p>
    <w:tbl>
      <w:tblPr>
        <w:tblW w:w="9858" w:type="dxa"/>
        <w:jc w:val="left"/>
        <w:tblInd w:w="0" w:type="dxa"/>
        <w:tblLayout w:type="fixed"/>
        <w:tblCellMar>
          <w:top w:w="0" w:type="dxa"/>
          <w:left w:w="0" w:type="dxa"/>
          <w:bottom w:w="0" w:type="dxa"/>
          <w:right w:w="0" w:type="dxa"/>
        </w:tblCellMar>
      </w:tblPr>
      <w:tblGrid>
        <w:gridCol w:w="23"/>
        <w:gridCol w:w="170"/>
        <w:gridCol w:w="96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66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Sections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5193" w:type="dxa"/>
        <w:jc w:val="left"/>
        <w:tblInd w:w="0" w:type="dxa"/>
        <w:tblLayout w:type="fixed"/>
        <w:tblCellMar>
          <w:top w:w="0" w:type="dxa"/>
          <w:left w:w="0" w:type="dxa"/>
          <w:bottom w:w="0" w:type="dxa"/>
          <w:right w:w="0" w:type="dxa"/>
        </w:tblCellMar>
      </w:tblPr>
      <w:tblGrid>
        <w:gridCol w:w="2311"/>
        <w:gridCol w:w="406"/>
        <w:gridCol w:w="247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467485" cy="175260"/>
                      <wp:effectExtent l="0" t="0" r="0" b="0"/>
                      <wp:wrapNone/>
                      <wp:docPr id="432" name="Frame431"/>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1572260" cy="175260"/>
                      <wp:effectExtent l="0" t="0" r="0" b="0"/>
                      <wp:wrapNone/>
                      <wp:docPr id="433" name="Frame432"/>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November 13, 2025</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Walter F. Healy</w:t>
            </w:r>
          </w:p>
        </w:tc>
      </w:tr>
      <w:tr>
        <w:trPr/>
        <w:tc>
          <w:tcPr>
            <w:tcW w:w="23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Walter F. Healy</w:t>
            </w:r>
          </w:p>
        </w:tc>
      </w:tr>
      <w:tr>
        <w:trPr/>
        <w:tc>
          <w:tcPr>
            <w:tcW w:w="23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23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23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November 13, 2025</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S. Manfre</w:t>
            </w:r>
          </w:p>
        </w:tc>
      </w:tr>
      <w:tr>
        <w:trPr/>
        <w:tc>
          <w:tcPr>
            <w:tcW w:w="23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/s/Thomas S. Manfre</w:t>
            </w:r>
          </w:p>
        </w:tc>
      </w:tr>
      <w:tr>
        <w:trPr/>
        <w:tc>
          <w:tcPr>
            <w:tcW w:w="23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3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signed original of this written statement required by Section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2073153/000110465925060154/tm2517031d3_ex3-1.htm" TargetMode="External"/><Relationship Id="rId4" Type="http://schemas.openxmlformats.org/officeDocument/2006/relationships/hyperlink" Target="https://www.sec.gov/Archives/edgar/data/2073153/000110465925060154/tm2517031d3_ex3-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19477</Words>
  <Characters>109216</Characters>
  <CharactersWithSpaces>132268</CharactersWithSpaces>
  <Paragraphs>9226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