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yne-20260630x10q.htm"/>
        <w:bookmarkStart w:id="1" w:name="kshyn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6bcf383a_3c2a_4741_a311_624b9164c89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18"/>
        </w:rPr>
        <w:t>QUARTERLY REPORT PURSUANT TO SECTION 13 OR 15(d) OF THE SECURITIES</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8"/>
        </w:rPr>
        <w:t>TRANSITION REPORT PURSUANT TO SECTION 13 OR 15(d) OF THE SECURITIES</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001-42990</w:t>
      </w:r>
    </w:p>
    <w:p>
      <w:pPr>
        <w:pStyle w:val="TextBody"/>
        <w:bidi w:val="0"/>
        <w:spacing w:before="0" w:after="0"/>
        <w:ind w:left="0" w:right="0" w:hanging="0"/>
        <w:jc w:val="center"/>
        <w:rPr/>
      </w:pPr>
      <w:r>
        <w:rPr/>
        <w:drawing>
          <wp:inline distT="0" distB="0" distL="0" distR="0">
            <wp:extent cx="2194560" cy="640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4560" cy="64071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HOYNE BANCORP,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9BiuZdNJgEa2bevlLe7NhQ_1_1"/>
      <w:bookmarkStart w:id="4" w:name="Tc_4caHsOcaW0OnYccpbgiMIg_1_0"/>
      <w:bookmarkStart w:id="5" w:name="_9302d5a9_ca5a_4936_8b25_8937a3a2888f"/>
      <w:bookmarkStart w:id="6" w:name="Tc_9BiuZdNJgEa2bevlLe7NhQ_1_1"/>
      <w:bookmarkStart w:id="7" w:name="Tc_4caHsOcaW0OnYccpbgiMIg_1_0"/>
      <w:bookmarkStart w:id="8" w:name="_9302d5a9_ca5a_4936_8b25_8937a3a2888f"/>
      <w:bookmarkEnd w:id="6"/>
      <w:bookmarkEnd w:id="7"/>
      <w:bookmarkEnd w:id="8"/>
    </w:p>
    <w:tbl>
      <w:tblPr>
        <w:tblW w:w="4187" w:type="dxa"/>
        <w:jc w:val="left"/>
        <w:tblInd w:w="0" w:type="dxa"/>
        <w:tblLayout w:type="fixed"/>
        <w:tblCellMar>
          <w:top w:w="0" w:type="dxa"/>
          <w:left w:w="0" w:type="dxa"/>
          <w:bottom w:w="0" w:type="dxa"/>
          <w:right w:w="0" w:type="dxa"/>
        </w:tblCellMar>
      </w:tblPr>
      <w:tblGrid>
        <w:gridCol w:w="2371"/>
        <w:gridCol w:w="181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39-2556785</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br/>
            </w:r>
            <w:r>
              <w:rPr>
                <w:rFonts w:ascii="Times New Roman;Times;serif" w:hAnsi="Times New Roman;Times;serif"/>
                <w:b/>
                <w:sz w:val="16"/>
              </w:rPr>
              <w:t>incorporation or organization)</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CwOMPizJd0GvxyF3Livlrg_2_1"/>
      <w:bookmarkStart w:id="10" w:name="Tc_eObI401YDkGpjy56HLUOlA_2_0"/>
      <w:bookmarkStart w:id="11" w:name="_984d0bdf_fdb6_4291_848f_f9f4a83ef14c"/>
      <w:bookmarkStart w:id="12" w:name="Tc_CwOMPizJd0GvxyF3Livlrg_2_1"/>
      <w:bookmarkStart w:id="13" w:name="Tc_eObI401YDkGpjy56HLUOlA_2_0"/>
      <w:bookmarkStart w:id="14" w:name="_984d0bdf_fdb6_4291_848f_f9f4a83ef14c"/>
      <w:bookmarkEnd w:id="12"/>
      <w:bookmarkEnd w:id="13"/>
      <w:bookmarkEnd w:id="14"/>
    </w:p>
    <w:tbl>
      <w:tblPr>
        <w:tblW w:w="2882" w:type="dxa"/>
        <w:jc w:val="left"/>
        <w:tblInd w:w="0" w:type="dxa"/>
        <w:tblLayout w:type="fixed"/>
        <w:tblCellMar>
          <w:top w:w="0" w:type="dxa"/>
          <w:left w:w="0" w:type="dxa"/>
          <w:bottom w:w="0" w:type="dxa"/>
          <w:right w:w="0" w:type="dxa"/>
        </w:tblCellMar>
      </w:tblPr>
      <w:tblGrid>
        <w:gridCol w:w="2206"/>
        <w:gridCol w:w="676"/>
      </w:tblGrid>
      <w:tr>
        <w:trPr/>
        <w:tc>
          <w:tcPr>
            <w:tcW w:w="2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810 S. Oak Park Avenue</w:t>
            </w:r>
          </w:p>
        </w:tc>
        <w:tc>
          <w:tcPr>
            <w:tcW w:w="676"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Oak Park, Illinois</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60304</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(708) 434-4300</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4AFVisduWEqtMaK4oQ2EOw_2_2"/>
      <w:bookmarkStart w:id="16" w:name="Tc_Fut-pjRF2kuggliKAVtbkQ_1_2"/>
      <w:bookmarkStart w:id="17" w:name="Tc_JtBWADZtcUijVhC822sI1Q_1_1"/>
      <w:bookmarkStart w:id="18" w:name="Tc_i1tdr_MavUKWnqRRRA0MJg_1_0"/>
      <w:bookmarkStart w:id="19" w:name="_da68a0f5_6ac5_4326_aad6_e02e3eef1ba3"/>
      <w:bookmarkStart w:id="20" w:name="Tc_4AFVisduWEqtMaK4oQ2EOw_2_2"/>
      <w:bookmarkStart w:id="21" w:name="Tc_Fut-pjRF2kuggliKAVtbkQ_1_2"/>
      <w:bookmarkStart w:id="22" w:name="Tc_JtBWADZtcUijVhC822sI1Q_1_1"/>
      <w:bookmarkStart w:id="23" w:name="Tc_i1tdr_MavUKWnqRRRA0MJg_1_0"/>
      <w:bookmarkStart w:id="24" w:name="_da68a0f5_6ac5_4326_aad6_e02e3eef1ba3"/>
      <w:bookmarkEnd w:id="20"/>
      <w:bookmarkEnd w:id="21"/>
      <w:bookmarkEnd w:id="22"/>
      <w:bookmarkEnd w:id="23"/>
      <w:bookmarkEnd w:id="24"/>
    </w:p>
    <w:tbl>
      <w:tblPr>
        <w:tblW w:w="7653" w:type="dxa"/>
        <w:jc w:val="left"/>
        <w:tblInd w:w="0" w:type="dxa"/>
        <w:tblLayout w:type="fixed"/>
        <w:tblCellMar>
          <w:top w:w="0" w:type="dxa"/>
          <w:left w:w="0" w:type="dxa"/>
          <w:bottom w:w="0" w:type="dxa"/>
          <w:right w:w="0" w:type="dxa"/>
        </w:tblCellMar>
      </w:tblPr>
      <w:tblGrid>
        <w:gridCol w:w="3061"/>
        <w:gridCol w:w="1276"/>
        <w:gridCol w:w="3316"/>
      </w:tblGrid>
      <w:tr>
        <w:trPr/>
        <w:tc>
          <w:tcPr>
            <w:tcW w:w="306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3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$0.01 per share</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HYNE</w:t>
            </w:r>
          </w:p>
        </w:tc>
        <w:tc>
          <w:tcPr>
            <w:tcW w:w="33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tcu1vM0NCkK-4teekM7Rkw_2_4"/>
      <w:bookmarkStart w:id="26" w:name="Tc_H04jkfzG7kmBEYTLE2vmxg_2_2"/>
      <w:bookmarkStart w:id="27" w:name="Tc_bgm6FZ4tWUOcHa2WuocwRw_2_1"/>
      <w:bookmarkStart w:id="28" w:name="Tc_e9I06rvqJ0Kd2_i3ueyBew_0_3"/>
      <w:bookmarkStart w:id="29" w:name="Tc__BdL4nqmakGH6m1eVgsIiA_0_2"/>
      <w:bookmarkStart w:id="30" w:name="Tc_L2C45R2gQ06ZhJXgYIIoDw_0_1"/>
      <w:bookmarkStart w:id="31" w:name="Tc_HSehn5oiq0SWgJ4CUqN7Qg_0_0"/>
      <w:bookmarkStart w:id="32" w:name="_a27ac08a_0a9a_4e59_bc9f_bc24cecde65b"/>
      <w:bookmarkStart w:id="33" w:name="Tc_tcu1vM0NCkK-4teekM7Rkw_2_4"/>
      <w:bookmarkStart w:id="34" w:name="Tc_H04jkfzG7kmBEYTLE2vmxg_2_2"/>
      <w:bookmarkStart w:id="35" w:name="Tc_bgm6FZ4tWUOcHa2WuocwRw_2_1"/>
      <w:bookmarkStart w:id="36" w:name="Tc_e9I06rvqJ0Kd2_i3ueyBew_0_3"/>
      <w:bookmarkStart w:id="37" w:name="Tc__BdL4nqmakGH6m1eVgsIiA_0_2"/>
      <w:bookmarkStart w:id="38" w:name="Tc_L2C45R2gQ06ZhJXgYIIoDw_0_1"/>
      <w:bookmarkStart w:id="39" w:name="Tc_HSehn5oiq0SWgJ4CUqN7Qg_0_0"/>
      <w:bookmarkStart w:id="40" w:name="_a27ac08a_0a9a_4e59_bc9f_bc24cecde65b"/>
      <w:bookmarkEnd w:id="33"/>
      <w:bookmarkEnd w:id="34"/>
      <w:bookmarkEnd w:id="35"/>
      <w:bookmarkEnd w:id="36"/>
      <w:bookmarkEnd w:id="37"/>
      <w:bookmarkEnd w:id="38"/>
      <w:bookmarkEnd w:id="39"/>
      <w:bookmarkEnd w:id="40"/>
    </w:p>
    <w:tbl>
      <w:tblPr>
        <w:tblW w:w="6696" w:type="dxa"/>
        <w:jc w:val="left"/>
        <w:tblInd w:w="0" w:type="dxa"/>
        <w:tblLayout w:type="fixed"/>
        <w:tblCellMar>
          <w:top w:w="0" w:type="dxa"/>
          <w:left w:w="0" w:type="dxa"/>
          <w:bottom w:w="0" w:type="dxa"/>
          <w:right w:w="0" w:type="dxa"/>
        </w:tblCellMar>
      </w:tblPr>
      <w:tblGrid>
        <w:gridCol w:w="1666"/>
        <w:gridCol w:w="316"/>
        <w:gridCol w:w="2011"/>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8,096,938 shares of the registrant’s common stock, par value $.01 per share, were issued and outstanding as of August 11, 2026.</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41" w:name="_4fcda294_45ea_4017_9997_21674e6cfd9a"/>
      <w:bookmarkEnd w:id="41"/>
      <w:r>
        <w:rPr>
          <w:rFonts w:ascii="Times New Roman;Times;serif" w:hAnsi="Times New Roman;Times;serif"/>
          <w:b w:val="false"/>
          <w:sz w:val="20"/>
        </w:rPr>
        <w:t>Hoyne Bancorp,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extBody"/>
        <w:bidi w:val="0"/>
        <w:spacing w:before="0" w:after="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8"/>
        <w:gridCol w:w="346"/>
        <w:gridCol w:w="8223"/>
        <w:gridCol w:w="346"/>
        <w:gridCol w:w="572"/>
      </w:tblGrid>
      <w:tr>
        <w:trPr/>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5930" cy="175260"/>
                      <wp:effectExtent l="0" t="0" r="0" b="0"/>
                      <wp:wrapNone/>
                      <wp:docPr id="2" name="Frame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21605" cy="175260"/>
                      <wp:effectExtent l="0" t="0" r="0" b="0"/>
                      <wp:wrapNone/>
                      <wp:docPr id="3" name="Frame2"/>
                      <a:graphic xmlns:a="http://schemas.openxmlformats.org/drawingml/2006/main">
                        <a:graphicData uri="http://schemas.microsoft.com/office/word/2010/wordprocessingShape">
                          <wps:wsp>
                            <wps:cNvSpPr txBox="1"/>
                            <wps:spPr>
                              <a:xfrm>
                                <a:off x="0" y="0"/>
                                <a:ext cx="522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3220" cy="175260"/>
                      <wp:effectExtent l="0" t="0" r="0" b="0"/>
                      <wp:wrapNone/>
                      <wp:docPr id="4" name="Frame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18" w:type="dxa"/>
            <w:tcBorders/>
            <w:vAlign w:val="center"/>
          </w:tcPr>
          <w:p>
            <w:pPr>
              <w:pStyle w:val="TableContents"/>
              <w:bidi w:val="0"/>
              <w:spacing w:before="0" w:after="0"/>
              <w:ind w:left="0" w:right="0" w:hanging="0"/>
              <w:jc w:val="left"/>
              <w:rPr/>
            </w:pPr>
            <w:hyperlink w:anchor="PARTIFINANCIALINFORMATION_47146">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PARTIFINANCIALINFORMATION_47146">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1ConsolidatedFinancialStatements_47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1ConsolidatedFinancialStatements_471">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CONSOLIDATEDSTATEMENTOFFINANCIALCONDITIO">
              <w:r>
                <w:rPr>
                  <w:rStyle w:val="InternetLink"/>
                  <w:rFonts w:ascii="Times New Roman;Times;serif" w:hAnsi="Times New Roman;Times;serif"/>
                  <w:b w:val="false"/>
                  <w:i w:val="false"/>
                  <w:caps w:val="false"/>
                  <w:smallCaps w:val="false"/>
                  <w:sz w:val="20"/>
                </w:rPr>
                <w:t xml:space="preserve">Consolidated Balance Sheets as of June 30, 2026 and December 31, 2025 </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CONSOLIDATEDSTATEMENTOFOPERATIONS_558742">
              <w:r>
                <w:rPr>
                  <w:rStyle w:val="InternetLink"/>
                  <w:rFonts w:ascii="Times New Roman;Times;serif" w:hAnsi="Times New Roman;Times;serif"/>
                  <w:b w:val="false"/>
                  <w:i w:val="false"/>
                  <w:caps w:val="false"/>
                  <w:smallCaps w:val="false"/>
                  <w:sz w:val="20"/>
                </w:rPr>
                <w:t xml:space="preserve">Consolidated Statement of Operations and Comprehensive Income (Loss) for the Three and Six Months Ended June 30, 2026 and 2025 </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STATEMENTOFEQUITY_882285">
              <w:r>
                <w:rPr>
                  <w:rStyle w:val="InternetLink"/>
                  <w:rFonts w:ascii="Times New Roman;Times;serif" w:hAnsi="Times New Roman;Times;serif"/>
                  <w:b w:val="false"/>
                  <w:i w:val="false"/>
                  <w:caps w:val="false"/>
                  <w:smallCaps w:val="false"/>
                  <w:sz w:val="20"/>
                </w:rPr>
                <w:t xml:space="preserve">Consolidated Statement of Changes in Stockholders’ Equity for the Three and Six Months Ended June 30, 2026 and 2025 </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CONSOLIDATEDSTATEMENTOFCASHFLOWS_89391">
              <w:r>
                <w:rPr>
                  <w:rStyle w:val="InternetLink"/>
                  <w:rFonts w:ascii="Times New Roman;Times;serif" w:hAnsi="Times New Roman;Times;serif"/>
                  <w:b w:val="false"/>
                  <w:i w:val="false"/>
                  <w:caps w:val="false"/>
                  <w:smallCaps w:val="false"/>
                  <w:sz w:val="20"/>
                </w:rPr>
                <w:t xml:space="preserve">Consolidated Statement of Cash Flows for the Six Months Ended June 30, 2026 and 2025 </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NOTESTOTHECONSOLIDATEDFINANCIAL_203669">
              <w:r>
                <w:rPr>
                  <w:rStyle w:val="InternetLink"/>
                  <w:rFonts w:ascii="Times New Roman;Times;serif" w:hAnsi="Times New Roman;Times;serif"/>
                  <w:b w:val="false"/>
                  <w:i w:val="false"/>
                  <w:caps w:val="false"/>
                  <w:smallCaps w:val="false"/>
                  <w:sz w:val="20"/>
                </w:rPr>
                <w:t>Notes to the Consolidated Financial Statements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4ControlsandProcedures_444664">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4ControlsandProcedures_444664">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PARTIIOTHERINFORMATION_528217">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PARTIIOTHERINFORMATION_528217">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1LegalProceedings_749207">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1LegalProceedings_749207">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1ARiskFactors_752252">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1ARiskFactors_752252">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3DefaultsUponSeniorSecurities_553177">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3DefaultsUponSeniorSecurities_553177">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4MineSafetyDisclosures_930077">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4MineSafetyDisclosures_930077">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5OtherInformation_933411">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5OtherInformation_933411">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18" w:type="dxa"/>
            <w:tcBorders/>
            <w:vAlign w:val="center"/>
          </w:tcPr>
          <w:p>
            <w:pPr>
              <w:pStyle w:val="TableContents"/>
              <w:bidi w:val="0"/>
              <w:spacing w:before="0" w:after="0"/>
              <w:ind w:left="0" w:right="0" w:hanging="0"/>
              <w:jc w:val="left"/>
              <w:rPr/>
            </w:pPr>
            <w:hyperlink w:anchor="ITEM6EXHIBITS_639217">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hyperlink w:anchor="ITEM6EXHIBITS_639217">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287" w:type="dxa"/>
            <w:gridSpan w:val="3"/>
            <w:tcBorders/>
            <w:vAlign w:val="center"/>
          </w:tcPr>
          <w:p>
            <w:pPr>
              <w:pStyle w:val="TableContents"/>
              <w:bidi w:val="0"/>
              <w:spacing w:before="0" w:after="0"/>
              <w:ind w:left="0" w:right="0" w:hanging="0"/>
              <w:jc w:val="left"/>
              <w:rPr/>
            </w:pPr>
            <w:hyperlink w:anchor="EXHIBITINDEX_234133">
              <w:r>
                <w:rPr>
                  <w:rStyle w:val="InternetLink"/>
                  <w:rFonts w:ascii="Times New Roman;Times;serif" w:hAnsi="Times New Roman;Times;serif"/>
                  <w:b w:val="false"/>
                  <w:i w:val="false"/>
                  <w:caps w:val="false"/>
                  <w:smallCaps w:val="false"/>
                  <w:sz w:val="20"/>
                </w:rPr>
                <w:t>Exhibit Index</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287" w:type="dxa"/>
            <w:gridSpan w:val="3"/>
            <w:tcBorders/>
            <w:vAlign w:val="center"/>
          </w:tcPr>
          <w:p>
            <w:pPr>
              <w:pStyle w:val="TableContents"/>
              <w:bidi w:val="0"/>
              <w:spacing w:before="0" w:after="0"/>
              <w:ind w:left="0" w:right="0" w:hanging="0"/>
              <w:jc w:val="left"/>
              <w:rPr/>
            </w:pPr>
            <w:hyperlink w:anchor="SIGNATURES_336995">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i/>
          <w:sz w:val="20"/>
        </w:rPr>
      </w:pPr>
      <w:bookmarkStart w:id="43" w:name="_a7148ead_34cc_4f75_ad12_bd3fb37ca707"/>
      <w:bookmarkEnd w:id="43"/>
      <w:r>
        <w:rPr>
          <w:rFonts w:ascii="Times New Roman;Times;serif" w:hAnsi="Times New Roman;Times;serif"/>
          <w:b/>
          <w:i/>
          <w:sz w:val="20"/>
        </w:rPr>
        <w:t>Explanatory Note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was formed to serve as the stock holding company for Hoyne Savings Bank in connection with the conversion of Hoyne Savings, MHC, the mutual holding company and sole stockholder of Hoyne Financial Corporation and Hoyne Savings Bank, from the mutual form of organization to the stock form of organization, which was completed December 3, 2025. Accordingly, certain financial statements and other financial information at or prior to December 3, 2025, contained in this Form 10-Q relate solely to the consolidated financial results of Hoyne Savings, MHC, and its consolidated subsidiaries, Hoyne Financial Corporations and Hoyne Savings Bank. The results as of and for the year ended December 31, 2025 include the results of Hoyne Bancorp, Inc. and its subsidiary, Hoyne Savings Bank.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FINANCIALINFORMATION_47146"/>
      <w:bookmarkStart w:id="45" w:name="_98bb3f7c_40e5_4168_adb3_387917933e86"/>
      <w:bookmarkEnd w:id="44"/>
      <w:bookmarkEnd w:id="45"/>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6" w:name="Item1ConsolidatedFinancialStatements_471"/>
      <w:bookmarkEnd w:id="46"/>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47" w:name="CONSOLIDATEDSTATEMENTOFFINANCIALCONDITIO"/>
      <w:bookmarkEnd w:id="47"/>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 except share data)</w:t>
      </w:r>
    </w:p>
    <w:p>
      <w:pPr>
        <w:pStyle w:val="Normal"/>
        <w:bidi w:val="0"/>
        <w:spacing w:before="0" w:after="0"/>
        <w:jc w:val="left"/>
        <w:rPr>
          <w:sz w:val="4"/>
          <w:szCs w:val="4"/>
        </w:rPr>
      </w:pPr>
      <w:r>
        <w:rPr>
          <w:sz w:val="4"/>
          <w:szCs w:val="4"/>
        </w:rPr>
      </w:r>
      <w:bookmarkStart w:id="48" w:name="Tc_IzbZp5QZikaZNjr28nHSFA_35_5"/>
      <w:bookmarkStart w:id="49" w:name="Tc_CzMVD5D2o0uzeaJMvqwh1A_35_2"/>
      <w:bookmarkStart w:id="50" w:name="Tc_8GfEUR5j5kyQZTz64ve4lA_35_0"/>
      <w:bookmarkStart w:id="51" w:name="Tc_pelDKPLaTUCVEtZ4F1JR3w_34_0"/>
      <w:bookmarkStart w:id="52" w:name="Tc_Y13GPRY_F0WmqAYNq3WKzA_33_0"/>
      <w:bookmarkStart w:id="53" w:name="Tc_JudO_WgXgEyFzxNkU_vaVw_32_0"/>
      <w:bookmarkStart w:id="54" w:name="Tc_BqPRIE8cg0i8-C-rnai0gQ_31_0"/>
      <w:bookmarkStart w:id="55" w:name="Tc_rU_dmT36eESyeC81Aa8xoA_30_0"/>
      <w:bookmarkStart w:id="56" w:name="Tc_3fc8a1FCt0umaDnOqlfNHA_29_0"/>
      <w:bookmarkStart w:id="57" w:name="Tc_tcYJYeBp5kWKnki_j4nAeA_28_0"/>
      <w:bookmarkStart w:id="58" w:name="Tc_-ybsymTYq0-PYr8FYJqHsg_27_0"/>
      <w:bookmarkStart w:id="59" w:name="Tc_mj0ZMqJAzkmh3DoFZu1b4w_26_0"/>
      <w:bookmarkStart w:id="60" w:name="Tc_QtXVdBV5QEC1wzWRenzNBw_25_0"/>
      <w:bookmarkStart w:id="61" w:name="Tc_U9u8nEM-XkuAyTUvexIRuw_24_0"/>
      <w:bookmarkStart w:id="62" w:name="Tc_x_6VCTQxGUmAlIOz9vr3Ow_23_5"/>
      <w:bookmarkStart w:id="63" w:name="Tc_hRnduWs38keB-CyVpoc4wg_23_2"/>
      <w:bookmarkStart w:id="64" w:name="Tc_bNBQUOBXz0SHLEhVTBPVvQ_23_0"/>
      <w:bookmarkStart w:id="65" w:name="Tc_lWUqIw-SRUKiU4qJuspKiQ_22_0"/>
      <w:bookmarkStart w:id="66" w:name="Tc_dlI_qPLXxUCUfbwZ79pzBA_21_0"/>
      <w:bookmarkStart w:id="67" w:name="Tc_dt8vPl1-E0uE_DvN4OWA-g_20_5"/>
      <w:bookmarkStart w:id="68" w:name="Tc_g6isP-AUeEK_OERFehFSMw_20_2"/>
      <w:bookmarkStart w:id="69" w:name="Tc_F0pDHQM4uEKucVC7T8-BIg_20_0"/>
      <w:bookmarkStart w:id="70" w:name="Tc_HuSxihcBcEeNAUF_d42H8w_19_0"/>
      <w:bookmarkStart w:id="71" w:name="Tc_387Ugn2KwUyblnUgw9AXnw_18_0"/>
      <w:bookmarkStart w:id="72" w:name="Tc_C_4j_A_wqEmxKsEn4eQPGQ_17_0"/>
      <w:bookmarkStart w:id="73" w:name="Tc_apq3ZH19h0m7b-UGqASjdQ_16_0"/>
      <w:bookmarkStart w:id="74" w:name="Tc_FIxG6wAVZUGWM2XCrLl4PA_15_0"/>
      <w:bookmarkStart w:id="75" w:name="Tc_Ji2MbVmbukmls_wdppfQcg_14_0"/>
      <w:bookmarkStart w:id="76" w:name="Tc_e4Ug04oFB06tGqcMxrjGJg_13_0"/>
      <w:bookmarkStart w:id="77" w:name="Tc_6ITm1dMUW02QfWQT93RC5g_12_0"/>
      <w:bookmarkStart w:id="78" w:name="Tc_hnSNmyHEMkWbAdum3e-MuA_11_0"/>
      <w:bookmarkStart w:id="79" w:name="Tc_cUrzGRJnpU6hF6whyrdklw_10_0"/>
      <w:bookmarkStart w:id="80" w:name="Tc_dxgUWps4mkGCBUebOtxpvw_9_0"/>
      <w:bookmarkStart w:id="81" w:name="Tc_7a1rHXNMNkKBW3IEHNws1g_8_0"/>
      <w:bookmarkStart w:id="82" w:name="Tc_qzZawlP0Akqx40ythDnOnQ_7_0"/>
      <w:bookmarkStart w:id="83" w:name="Tc_fijKyf7m3EO9DXBFGwM4Qg_6_0"/>
      <w:bookmarkStart w:id="84" w:name="Tc_dVdfWK6FyE2srTG3b9HS2Q_5_5"/>
      <w:bookmarkStart w:id="85" w:name="Tc_9aR0RY3ceUu5G01olZgaBQ_5_2"/>
      <w:bookmarkStart w:id="86" w:name="Tc_w9fBGqjNxkauYOkpCLMIxg_5_0"/>
      <w:bookmarkStart w:id="87" w:name="Tc_jSCvQnDi9kOdiEk6siHT6Q_4_0"/>
      <w:bookmarkStart w:id="88" w:name="Tc_YQb9Ac8t3Uyco8C1YtkiRg_2_2"/>
      <w:bookmarkStart w:id="89" w:name="Tc_KG3fyWrTv0WiYGtUeWMewA_1_5"/>
      <w:bookmarkStart w:id="90" w:name="Tc_U5IYbPz11Uy4AgkPmslFQw_1_2"/>
      <w:bookmarkStart w:id="91" w:name="_dafc2e84_f97c_40ce_8a2f_0690baa2bef6"/>
      <w:bookmarkStart w:id="92" w:name="Tc_IzbZp5QZikaZNjr28nHSFA_35_5"/>
      <w:bookmarkStart w:id="93" w:name="Tc_CzMVD5D2o0uzeaJMvqwh1A_35_2"/>
      <w:bookmarkStart w:id="94" w:name="Tc_8GfEUR5j5kyQZTz64ve4lA_35_0"/>
      <w:bookmarkStart w:id="95" w:name="Tc_pelDKPLaTUCVEtZ4F1JR3w_34_0"/>
      <w:bookmarkStart w:id="96" w:name="Tc_Y13GPRY_F0WmqAYNq3WKzA_33_0"/>
      <w:bookmarkStart w:id="97" w:name="Tc_JudO_WgXgEyFzxNkU_vaVw_32_0"/>
      <w:bookmarkStart w:id="98" w:name="Tc_BqPRIE8cg0i8-C-rnai0gQ_31_0"/>
      <w:bookmarkStart w:id="99" w:name="Tc_rU_dmT36eESyeC81Aa8xoA_30_0"/>
      <w:bookmarkStart w:id="100" w:name="Tc_3fc8a1FCt0umaDnOqlfNHA_29_0"/>
      <w:bookmarkStart w:id="101" w:name="Tc_tcYJYeBp5kWKnki_j4nAeA_28_0"/>
      <w:bookmarkStart w:id="102" w:name="Tc_-ybsymTYq0-PYr8FYJqHsg_27_0"/>
      <w:bookmarkStart w:id="103" w:name="Tc_mj0ZMqJAzkmh3DoFZu1b4w_26_0"/>
      <w:bookmarkStart w:id="104" w:name="Tc_QtXVdBV5QEC1wzWRenzNBw_25_0"/>
      <w:bookmarkStart w:id="105" w:name="Tc_U9u8nEM-XkuAyTUvexIRuw_24_0"/>
      <w:bookmarkStart w:id="106" w:name="Tc_x_6VCTQxGUmAlIOz9vr3Ow_23_5"/>
      <w:bookmarkStart w:id="107" w:name="Tc_hRnduWs38keB-CyVpoc4wg_23_2"/>
      <w:bookmarkStart w:id="108" w:name="Tc_bNBQUOBXz0SHLEhVTBPVvQ_23_0"/>
      <w:bookmarkStart w:id="109" w:name="Tc_lWUqIw-SRUKiU4qJuspKiQ_22_0"/>
      <w:bookmarkStart w:id="110" w:name="Tc_dlI_qPLXxUCUfbwZ79pzBA_21_0"/>
      <w:bookmarkStart w:id="111" w:name="Tc_dt8vPl1-E0uE_DvN4OWA-g_20_5"/>
      <w:bookmarkStart w:id="112" w:name="Tc_g6isP-AUeEK_OERFehFSMw_20_2"/>
      <w:bookmarkStart w:id="113" w:name="Tc_F0pDHQM4uEKucVC7T8-BIg_20_0"/>
      <w:bookmarkStart w:id="114" w:name="Tc_HuSxihcBcEeNAUF_d42H8w_19_0"/>
      <w:bookmarkStart w:id="115" w:name="Tc_387Ugn2KwUyblnUgw9AXnw_18_0"/>
      <w:bookmarkStart w:id="116" w:name="Tc_C_4j_A_wqEmxKsEn4eQPGQ_17_0"/>
      <w:bookmarkStart w:id="117" w:name="Tc_apq3ZH19h0m7b-UGqASjdQ_16_0"/>
      <w:bookmarkStart w:id="118" w:name="Tc_FIxG6wAVZUGWM2XCrLl4PA_15_0"/>
      <w:bookmarkStart w:id="119" w:name="Tc_Ji2MbVmbukmls_wdppfQcg_14_0"/>
      <w:bookmarkStart w:id="120" w:name="Tc_e4Ug04oFB06tGqcMxrjGJg_13_0"/>
      <w:bookmarkStart w:id="121" w:name="Tc_6ITm1dMUW02QfWQT93RC5g_12_0"/>
      <w:bookmarkStart w:id="122" w:name="Tc_hnSNmyHEMkWbAdum3e-MuA_11_0"/>
      <w:bookmarkStart w:id="123" w:name="Tc_cUrzGRJnpU6hF6whyrdklw_10_0"/>
      <w:bookmarkStart w:id="124" w:name="Tc_dxgUWps4mkGCBUebOtxpvw_9_0"/>
      <w:bookmarkStart w:id="125" w:name="Tc_7a1rHXNMNkKBW3IEHNws1g_8_0"/>
      <w:bookmarkStart w:id="126" w:name="Tc_qzZawlP0Akqx40ythDnOnQ_7_0"/>
      <w:bookmarkStart w:id="127" w:name="Tc_fijKyf7m3EO9DXBFGwM4Qg_6_0"/>
      <w:bookmarkStart w:id="128" w:name="Tc_dVdfWK6FyE2srTG3b9HS2Q_5_5"/>
      <w:bookmarkStart w:id="129" w:name="Tc_9aR0RY3ceUu5G01olZgaBQ_5_2"/>
      <w:bookmarkStart w:id="130" w:name="Tc_w9fBGqjNxkauYOkpCLMIxg_5_0"/>
      <w:bookmarkStart w:id="131" w:name="Tc_jSCvQnDi9kOdiEk6siHT6Q_4_0"/>
      <w:bookmarkStart w:id="132" w:name="Tc_YQb9Ac8t3Uyco8C1YtkiRg_2_2"/>
      <w:bookmarkStart w:id="133" w:name="Tc_KG3fyWrTv0WiYGtUeWMewA_1_5"/>
      <w:bookmarkStart w:id="134" w:name="Tc_U5IYbPz11Uy4AgkPmslFQw_1_2"/>
      <w:bookmarkStart w:id="135" w:name="_dafc2e84_f97c_40ce_8a2f_0690baa2bef6"/>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6841"/>
        <w:gridCol w:w="346"/>
        <w:gridCol w:w="239"/>
        <w:gridCol w:w="887"/>
        <w:gridCol w:w="346"/>
        <w:gridCol w:w="297"/>
        <w:gridCol w:w="1249"/>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44035" cy="175260"/>
                      <wp:effectExtent l="0" t="0" r="0" b="0"/>
                      <wp:wrapNone/>
                      <wp:docPr id="5" name="Frame4"/>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1765" cy="175260"/>
                      <wp:effectExtent l="0" t="0" r="0" b="0"/>
                      <wp:wrapNone/>
                      <wp:docPr id="7" name="Frame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63245" cy="175260"/>
                      <wp:effectExtent l="0" t="0" r="0" b="0"/>
                      <wp:wrapNone/>
                      <wp:docPr id="8" name="Frame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88595" cy="175260"/>
                      <wp:effectExtent l="0" t="0" r="0" b="0"/>
                      <wp:wrapNone/>
                      <wp:docPr id="10" name="Frame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93115" cy="175260"/>
                      <wp:effectExtent l="0" t="0" r="0" b="0"/>
                      <wp:wrapNone/>
                      <wp:docPr id="11" name="Frame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18" w:type="dxa"/>
            <w:gridSpan w:val="5"/>
            <w:tcBorders/>
            <w:vAlign w:val="center"/>
          </w:tcPr>
          <w:p>
            <w:pPr>
              <w:pStyle w:val="TableContents"/>
              <w:bidi w:val="0"/>
              <w:spacing w:before="0" w:after="1"/>
              <w:ind w:left="0" w:right="0" w:hanging="0"/>
              <w:jc w:val="center"/>
              <w:rPr/>
            </w:pPr>
            <w:r>
              <w:rPr/>
              <w:t>​</w:t>
            </w:r>
          </w:p>
        </w:tc>
      </w:tr>
      <w:tr>
        <w:trPr/>
        <w:tc>
          <w:tcPr>
            <w:tcW w:w="684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3018" w:type="dxa"/>
            <w:gridSpan w:val="5"/>
            <w:tcBorders/>
            <w:shd w:fill="CCEEFF" w:val="clear"/>
            <w:vAlign w:val="center"/>
          </w:tcPr>
          <w:p>
            <w:pPr>
              <w:pStyle w:val="TableContents"/>
              <w:bidi w:val="0"/>
              <w:spacing w:before="0" w:after="1"/>
              <w:ind w:left="0" w:right="0" w:hanging="0"/>
              <w:jc w:val="center"/>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25,376</w:t>
            </w:r>
          </w:p>
        </w:tc>
        <w:tc>
          <w:tcPr>
            <w:tcW w:w="346" w:type="dxa"/>
            <w:tcBorders/>
            <w:vAlign w:val="center"/>
          </w:tcPr>
          <w:p>
            <w:pPr>
              <w:pStyle w:val="TableContents"/>
              <w:bidi w:val="0"/>
              <w:spacing w:before="0" w:after="1"/>
              <w:ind w:left="0" w:right="0" w:hanging="0"/>
              <w:jc w:val="center"/>
              <w:rPr/>
            </w:pPr>
            <w:r>
              <w:rPr/>
              <w:t>​</w:t>
            </w:r>
          </w:p>
        </w:tc>
        <w:tc>
          <w:tcPr>
            <w:tcW w:w="2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47,595</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 in other financial institutions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(amortized cost of $116,635 and $121,879 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100,856</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106,654</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at amortized cost</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25,915</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28,368</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Home Loan Bank of Chicago stock (FHLB)</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Real Estate Owned (REO)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net of allowance for credit losses of $2,952 and $2,682 at June 30, 2026 and December 31, 2025, respectively</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282,289</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267,949</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7,337</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Bank-owned life insurance (BOLI)</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20,356</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14,949</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Core deposit intangibles</w:t>
            </w:r>
          </w:p>
        </w:tc>
        <w:tc>
          <w:tcPr>
            <w:tcW w:w="34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46" w:type="dxa"/>
            <w:tcBorders/>
            <w:vAlign w:val="center"/>
          </w:tcPr>
          <w:p>
            <w:pPr>
              <w:pStyle w:val="TableContents"/>
              <w:bidi w:val="0"/>
              <w:spacing w:before="0" w:after="1"/>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c>
          <w:tcPr>
            <w:tcW w:w="346" w:type="dxa"/>
            <w:tcBorders/>
            <w:vAlign w:val="center"/>
          </w:tcPr>
          <w:p>
            <w:pPr>
              <w:pStyle w:val="TableContents"/>
              <w:bidi w:val="0"/>
              <w:spacing w:before="0" w:after="1"/>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479,959</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489,377</w:t>
            </w:r>
          </w:p>
        </w:tc>
      </w:tr>
      <w:tr>
        <w:trPr/>
        <w:tc>
          <w:tcPr>
            <w:tcW w:w="68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  ​</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312,562</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321,551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from borrowers for taxes and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3,187</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318,816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328,011</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$0.01 par value, 500,000 shares authorized, none issued</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9,500,000 shares authorized, 8,096,938 issued and outstanding</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common stock - ESOP</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77,307</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77,241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101,364</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101,386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(11,283)</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(10,886)</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161,143</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161,366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479,959</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489,377</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 w:name="_c74a2a6a_3f9e_4a9d_9e55_622f6ec98cc0"/>
      <w:bookmarkEnd w:id="136"/>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137" w:name="CONSOLIDATEDSTATEMENTOFOPERATIONS_558742"/>
      <w:bookmarkEnd w:id="137"/>
      <w:r>
        <w:rPr>
          <w:rFonts w:ascii="Times New Roman;Times;serif" w:hAnsi="Times New Roman;Times;serif"/>
          <w:b/>
          <w:sz w:val="20"/>
        </w:rPr>
        <w:t>CONSOLIDATED STATEMENT OF OPERATIONS AND COMPREHENSIVE INCOME (LOSS) –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 except share and per share data)</w:t>
      </w:r>
    </w:p>
    <w:p>
      <w:pPr>
        <w:pStyle w:val="Normal"/>
        <w:bidi w:val="0"/>
        <w:spacing w:before="0" w:after="0"/>
        <w:jc w:val="left"/>
        <w:rPr>
          <w:sz w:val="4"/>
          <w:szCs w:val="4"/>
        </w:rPr>
      </w:pPr>
      <w:r>
        <w:rPr>
          <w:sz w:val="4"/>
          <w:szCs w:val="4"/>
        </w:rPr>
      </w:r>
      <w:bookmarkStart w:id="138" w:name="Tc_V-qMabnBBUKI88SnAcFvLg_35_11"/>
      <w:bookmarkStart w:id="139" w:name="Tc_a-mjRXGy8Um_RFumWjdWFQ_35_8"/>
      <w:bookmarkStart w:id="140" w:name="Tc_jjUtejb30kGnGMIn53B_xA_35_5"/>
      <w:bookmarkStart w:id="141" w:name="Tc_npTiQAhruEmCAMUKHr8u1Q_35_2"/>
      <w:bookmarkStart w:id="142" w:name="Tc_VtGdL5Y_1UG95oAUV19gdA_35_0"/>
      <w:bookmarkStart w:id="143" w:name="Tc_V-wrujSDLUW2g218gdlkFQ_34_0"/>
      <w:bookmarkStart w:id="144" w:name="Tc_OjEAxIkACEevGQoPiWo3dg_33_0"/>
      <w:bookmarkStart w:id="145" w:name="Tc_XYCnt6B2PkKrzkJ7U89WDQ_32_0"/>
      <w:bookmarkStart w:id="146" w:name="Tc_rjHuC7RM1k2ZVDccBpSjJg_30_12"/>
      <w:bookmarkStart w:id="147" w:name="Tc_WHyrCU1Xp0u432C6U_x7bw_30_6"/>
      <w:bookmarkStart w:id="148" w:name="Tc_Mz8y2uws9USFVS3kvCmgHw_30_0"/>
      <w:bookmarkStart w:id="149" w:name="Tc_vZ_gqIPW5UuZgeG8_Loq2A_29_12"/>
      <w:bookmarkStart w:id="150" w:name="Tc_2kdE4sairUCFn2-hLC6mSg_29_6"/>
      <w:bookmarkStart w:id="151" w:name="Tc_UVyCA0iMYUmKXIbDoZrFaw_29_0"/>
      <w:bookmarkStart w:id="152" w:name="Tc_qjcJn4FJzEqEnTIFAYiBxw_27_0"/>
      <w:bookmarkStart w:id="153" w:name="Tc_4B3HfPDb0keac4mxiwozcA_26_0"/>
      <w:bookmarkStart w:id="154" w:name="Tc_PTCYa4GR20O_p83IQJ1YJQ_25_0"/>
      <w:bookmarkStart w:id="155" w:name="Tc_iyIQrJrX4UuOMXLCehp6Pw_24_0"/>
      <w:bookmarkStart w:id="156" w:name="Tc_JKp7t6hCgkm98MF8UzcKsA_23_0"/>
      <w:bookmarkStart w:id="157" w:name="Tc_Yx9xSlFlKk-_mryuBVGsDg_22_0"/>
      <w:bookmarkStart w:id="158" w:name="Tc_J_6ZsXj4Q02PsAiWUiOueg_21_0"/>
      <w:bookmarkStart w:id="159" w:name="Tc_WX4zpHPLIUy0svPT45Zc-w_20_0"/>
      <w:bookmarkStart w:id="160" w:name="Tc__9gcowm8-Umv8qxok-KmIA_19_0"/>
      <w:bookmarkStart w:id="161" w:name="Tc_0hdrC_T4F0yELUjgPoW2QA_18_0"/>
      <w:bookmarkStart w:id="162" w:name="Tc_vHdnujLYQ0mr0rkEZxvCkA_17_0"/>
      <w:bookmarkStart w:id="163" w:name="Tc_SmSiVJ-_N0SzaaxsXoCFTg_16_0"/>
      <w:bookmarkStart w:id="164" w:name="Tc_TaVVS7TnO0uapAZ8bhEskA_15_0"/>
      <w:bookmarkStart w:id="165" w:name="Tc_dYd1jylPgUupPNlMDBzylA_14_0"/>
      <w:bookmarkStart w:id="166" w:name="Tc_8EkNERLz6E-f0qv5gB2kTQ_13_0"/>
      <w:bookmarkStart w:id="167" w:name="Tc_K8bNoR3AzEKl-8XZ3nfOaQ_12_0"/>
      <w:bookmarkStart w:id="168" w:name="Tc_1x-ONoQxukSKBDvjmUGqww_11_0"/>
      <w:bookmarkStart w:id="169" w:name="Tc_pElzRGUrp0-78pdkiWvtVA_10_0"/>
      <w:bookmarkStart w:id="170" w:name="Tc_JqGONbhlN0KbPvri0dgeQg_9_0"/>
      <w:bookmarkStart w:id="171" w:name="Tc_VvJh7V3g-kyIVyZ1gXxVCA_8_0"/>
      <w:bookmarkStart w:id="172" w:name="Tc_tcUXbimi3kqjdzxK6l-cww_7_0"/>
      <w:bookmarkStart w:id="173" w:name="Tc_l7WCQO2Dt0y7dY3cES6FFA_6_0"/>
      <w:bookmarkStart w:id="174" w:name="Tc_oU2cxPiJq02EGIXM8pVaqw_5_11"/>
      <w:bookmarkStart w:id="175" w:name="Tc_1I0-gHr_V0eSP1f_1Btkng_5_8"/>
      <w:bookmarkStart w:id="176" w:name="Tc_f8IkTv5bhkGbIIj79PWI2w_5_5"/>
      <w:bookmarkStart w:id="177" w:name="Tc_UewSkOzKO06JvyOyjN1rbg_5_2"/>
      <w:bookmarkStart w:id="178" w:name="Tc_aUBlOArbDUSmx3cCWHo3Xg_5_0"/>
      <w:bookmarkStart w:id="179" w:name="Tc_aR8qdA1GdkasG2Wvrs5EEQ_4_0"/>
      <w:bookmarkStart w:id="180" w:name="Tc_CutR0GWd2kiG4qlqr464sg_2_11"/>
      <w:bookmarkStart w:id="181" w:name="Tc_EXHlNxKQ_0aRtB8gy-IZYQ_2_8"/>
      <w:bookmarkStart w:id="182" w:name="Tc_Vo0eGLf0P02N1AHKdobIpw_2_5"/>
      <w:bookmarkStart w:id="183" w:name="Tc_xaekXe0f6USyo8xM-849OA_2_2"/>
      <w:bookmarkStart w:id="184" w:name="Tc_Rv6hz7WpLUK0FWUrfgAZew_1_8"/>
      <w:bookmarkStart w:id="185" w:name="Tc_6EzJQJDMCUCiUasUWNfPBg_1_2"/>
      <w:bookmarkStart w:id="186" w:name="_61160ea8_e36c_42fe_a15b_7e649cc4b74b"/>
      <w:bookmarkStart w:id="187" w:name="_8d971a02_83d6_473c_b8c8_bfc46ed6b9a2"/>
      <w:bookmarkStart w:id="188" w:name="Tc_V-qMabnBBUKI88SnAcFvLg_35_11"/>
      <w:bookmarkStart w:id="189" w:name="Tc_a-mjRXGy8Um_RFumWjdWFQ_35_8"/>
      <w:bookmarkStart w:id="190" w:name="Tc_jjUtejb30kGnGMIn53B_xA_35_5"/>
      <w:bookmarkStart w:id="191" w:name="Tc_npTiQAhruEmCAMUKHr8u1Q_35_2"/>
      <w:bookmarkStart w:id="192" w:name="Tc_VtGdL5Y_1UG95oAUV19gdA_35_0"/>
      <w:bookmarkStart w:id="193" w:name="Tc_V-wrujSDLUW2g218gdlkFQ_34_0"/>
      <w:bookmarkStart w:id="194" w:name="Tc_OjEAxIkACEevGQoPiWo3dg_33_0"/>
      <w:bookmarkStart w:id="195" w:name="Tc_XYCnt6B2PkKrzkJ7U89WDQ_32_0"/>
      <w:bookmarkStart w:id="196" w:name="Tc_rjHuC7RM1k2ZVDccBpSjJg_30_12"/>
      <w:bookmarkStart w:id="197" w:name="Tc_WHyrCU1Xp0u432C6U_x7bw_30_6"/>
      <w:bookmarkStart w:id="198" w:name="Tc_Mz8y2uws9USFVS3kvCmgHw_30_0"/>
      <w:bookmarkStart w:id="199" w:name="Tc_vZ_gqIPW5UuZgeG8_Loq2A_29_12"/>
      <w:bookmarkStart w:id="200" w:name="Tc_2kdE4sairUCFn2-hLC6mSg_29_6"/>
      <w:bookmarkStart w:id="201" w:name="Tc_UVyCA0iMYUmKXIbDoZrFaw_29_0"/>
      <w:bookmarkStart w:id="202" w:name="Tc_qjcJn4FJzEqEnTIFAYiBxw_27_0"/>
      <w:bookmarkStart w:id="203" w:name="Tc_4B3HfPDb0keac4mxiwozcA_26_0"/>
      <w:bookmarkStart w:id="204" w:name="Tc_PTCYa4GR20O_p83IQJ1YJQ_25_0"/>
      <w:bookmarkStart w:id="205" w:name="Tc_iyIQrJrX4UuOMXLCehp6Pw_24_0"/>
      <w:bookmarkStart w:id="206" w:name="Tc_JKp7t6hCgkm98MF8UzcKsA_23_0"/>
      <w:bookmarkStart w:id="207" w:name="Tc_Yx9xSlFlKk-_mryuBVGsDg_22_0"/>
      <w:bookmarkStart w:id="208" w:name="Tc_J_6ZsXj4Q02PsAiWUiOueg_21_0"/>
      <w:bookmarkStart w:id="209" w:name="Tc_WX4zpHPLIUy0svPT45Zc-w_20_0"/>
      <w:bookmarkStart w:id="210" w:name="Tc__9gcowm8-Umv8qxok-KmIA_19_0"/>
      <w:bookmarkStart w:id="211" w:name="Tc_0hdrC_T4F0yELUjgPoW2QA_18_0"/>
      <w:bookmarkStart w:id="212" w:name="Tc_vHdnujLYQ0mr0rkEZxvCkA_17_0"/>
      <w:bookmarkStart w:id="213" w:name="Tc_SmSiVJ-_N0SzaaxsXoCFTg_16_0"/>
      <w:bookmarkStart w:id="214" w:name="Tc_TaVVS7TnO0uapAZ8bhEskA_15_0"/>
      <w:bookmarkStart w:id="215" w:name="Tc_dYd1jylPgUupPNlMDBzylA_14_0"/>
      <w:bookmarkStart w:id="216" w:name="Tc_8EkNERLz6E-f0qv5gB2kTQ_13_0"/>
      <w:bookmarkStart w:id="217" w:name="Tc_K8bNoR3AzEKl-8XZ3nfOaQ_12_0"/>
      <w:bookmarkStart w:id="218" w:name="Tc_1x-ONoQxukSKBDvjmUGqww_11_0"/>
      <w:bookmarkStart w:id="219" w:name="Tc_pElzRGUrp0-78pdkiWvtVA_10_0"/>
      <w:bookmarkStart w:id="220" w:name="Tc_JqGONbhlN0KbPvri0dgeQg_9_0"/>
      <w:bookmarkStart w:id="221" w:name="Tc_VvJh7V3g-kyIVyZ1gXxVCA_8_0"/>
      <w:bookmarkStart w:id="222" w:name="Tc_tcUXbimi3kqjdzxK6l-cww_7_0"/>
      <w:bookmarkStart w:id="223" w:name="Tc_l7WCQO2Dt0y7dY3cES6FFA_6_0"/>
      <w:bookmarkStart w:id="224" w:name="Tc_oU2cxPiJq02EGIXM8pVaqw_5_11"/>
      <w:bookmarkStart w:id="225" w:name="Tc_1I0-gHr_V0eSP1f_1Btkng_5_8"/>
      <w:bookmarkStart w:id="226" w:name="Tc_f8IkTv5bhkGbIIj79PWI2w_5_5"/>
      <w:bookmarkStart w:id="227" w:name="Tc_UewSkOzKO06JvyOyjN1rbg_5_2"/>
      <w:bookmarkStart w:id="228" w:name="Tc_aUBlOArbDUSmx3cCWHo3Xg_5_0"/>
      <w:bookmarkStart w:id="229" w:name="Tc_aR8qdA1GdkasG2Wvrs5EEQ_4_0"/>
      <w:bookmarkStart w:id="230" w:name="Tc_CutR0GWd2kiG4qlqr464sg_2_11"/>
      <w:bookmarkStart w:id="231" w:name="Tc_EXHlNxKQ_0aRtB8gy-IZYQ_2_8"/>
      <w:bookmarkStart w:id="232" w:name="Tc_Vo0eGLf0P02N1AHKdobIpw_2_5"/>
      <w:bookmarkStart w:id="233" w:name="Tc_xaekXe0f6USyo8xM-849OA_2_2"/>
      <w:bookmarkStart w:id="234" w:name="Tc_Rv6hz7WpLUK0FWUrfgAZew_1_8"/>
      <w:bookmarkStart w:id="235" w:name="Tc_6EzJQJDMCUCiUasUWNfPBg_1_2"/>
      <w:bookmarkStart w:id="236" w:name="_61160ea8_e36c_42fe_a15b_7e649cc4b74b"/>
      <w:bookmarkStart w:id="237" w:name="_8d971a02_83d6_473c_b8c8_bfc46ed6b9a2"/>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tbl>
      <w:tblPr>
        <w:tblW w:w="10205" w:type="dxa"/>
        <w:jc w:val="left"/>
        <w:tblInd w:w="0" w:type="dxa"/>
        <w:tblLayout w:type="fixed"/>
        <w:tblCellMar>
          <w:top w:w="0" w:type="dxa"/>
          <w:left w:w="0" w:type="dxa"/>
          <w:bottom w:w="0" w:type="dxa"/>
          <w:right w:w="0" w:type="dxa"/>
        </w:tblCellMar>
      </w:tblPr>
      <w:tblGrid>
        <w:gridCol w:w="5417"/>
        <w:gridCol w:w="146"/>
        <w:gridCol w:w="213"/>
        <w:gridCol w:w="940"/>
        <w:gridCol w:w="147"/>
        <w:gridCol w:w="213"/>
        <w:gridCol w:w="649"/>
        <w:gridCol w:w="146"/>
        <w:gridCol w:w="211"/>
        <w:gridCol w:w="931"/>
        <w:gridCol w:w="146"/>
        <w:gridCol w:w="211"/>
        <w:gridCol w:w="642"/>
        <w:gridCol w:w="193"/>
      </w:tblGrid>
      <w:tr>
        <w:trPr/>
        <w:tc>
          <w:tcPr>
            <w:tcW w:w="5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439795" cy="175260"/>
                      <wp:effectExtent l="0" t="0" r="0" b="0"/>
                      <wp:wrapNone/>
                      <wp:docPr id="12" name="Frame11"/>
                      <a:graphic xmlns:a="http://schemas.openxmlformats.org/drawingml/2006/main">
                        <a:graphicData uri="http://schemas.microsoft.com/office/word/2010/wordprocessingShape">
                          <wps:wsp>
                            <wps:cNvSpPr txBox="1"/>
                            <wps:spPr>
                              <a:xfrm>
                                <a:off x="0" y="0"/>
                                <a:ext cx="3439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255" cy="175260"/>
                      <wp:effectExtent l="0" t="0" r="0" b="0"/>
                      <wp:wrapNone/>
                      <wp:docPr id="14" name="Frame1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6900" cy="175260"/>
                      <wp:effectExtent l="0" t="0" r="0" b="0"/>
                      <wp:wrapNone/>
                      <wp:docPr id="15" name="Frame14"/>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345" cy="175260"/>
                      <wp:effectExtent l="0" t="0" r="0" b="0"/>
                      <wp:wrapNone/>
                      <wp:docPr id="16" name="Frame15"/>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5255" cy="175260"/>
                      <wp:effectExtent l="0" t="0" r="0" b="0"/>
                      <wp:wrapNone/>
                      <wp:docPr id="17" name="Frame1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12115" cy="175260"/>
                      <wp:effectExtent l="0" t="0" r="0" b="0"/>
                      <wp:wrapNone/>
                      <wp:docPr id="18" name="Frame17"/>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2710" cy="175260"/>
                      <wp:effectExtent l="0" t="0" r="0" b="0"/>
                      <wp:wrapNone/>
                      <wp:docPr id="19"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1"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07670" cy="175260"/>
                      <wp:effectExtent l="0" t="0" r="0" b="0"/>
                      <wp:wrapNone/>
                      <wp:docPr id="24" name="Frame23"/>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2555" cy="175260"/>
                      <wp:effectExtent l="0" t="0" r="0" b="0"/>
                      <wp:wrapNone/>
                      <wp:docPr id="25" name="Frame24"/>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46" w:type="dxa"/>
            <w:tcBorders/>
            <w:vAlign w:val="center"/>
          </w:tcPr>
          <w:p>
            <w:pPr>
              <w:pStyle w:val="TableContents"/>
              <w:bidi w:val="0"/>
              <w:spacing w:before="0" w:after="1"/>
              <w:ind w:left="0" w:right="0" w:hanging="0"/>
              <w:jc w:val="left"/>
              <w:rPr/>
            </w:pPr>
            <w:r>
              <w:rPr/>
              <w:t>​</w:t>
            </w:r>
          </w:p>
        </w:tc>
        <w:tc>
          <w:tcPr>
            <w:tcW w:w="21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3" w:type="dxa"/>
            <w:tcBorders/>
            <w:vAlign w:val="center"/>
          </w:tcPr>
          <w:p>
            <w:pPr>
              <w:pStyle w:val="TableContents"/>
              <w:bidi w:val="0"/>
              <w:spacing w:before="0" w:after="1"/>
              <w:ind w:left="0" w:right="0" w:hanging="0"/>
              <w:jc w:val="left"/>
              <w:rPr/>
            </w:pPr>
            <w:r>
              <w:rPr/>
              <w:t>​</w:t>
            </w:r>
          </w:p>
        </w:tc>
      </w:tr>
      <w:tr>
        <w:trPr/>
        <w:tc>
          <w:tcPr>
            <w:tcW w:w="54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7" w:type="dxa"/>
            <w:tcBorders/>
            <w:vAlign w:val="center"/>
          </w:tcPr>
          <w:p>
            <w:pPr>
              <w:pStyle w:val="TableContents"/>
              <w:bidi w:val="0"/>
              <w:spacing w:before="0" w:after="1"/>
              <w:ind w:left="0" w:right="0" w:hanging="0"/>
              <w:jc w:val="center"/>
              <w:rPr/>
            </w:pPr>
            <w:r>
              <w:rPr/>
              <w:t>​</w:t>
            </w:r>
          </w:p>
        </w:tc>
        <w:tc>
          <w:tcPr>
            <w:tcW w:w="8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center"/>
              <w:rPr/>
            </w:pPr>
            <w:r>
              <w:rPr/>
              <w:t>​</w:t>
            </w:r>
          </w:p>
        </w:tc>
        <w:tc>
          <w:tcPr>
            <w:tcW w:w="8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3" w:type="dxa"/>
            <w:tcBorders/>
            <w:vAlign w:val="center"/>
          </w:tcPr>
          <w:p>
            <w:pPr>
              <w:pStyle w:val="TableContents"/>
              <w:bidi w:val="0"/>
              <w:spacing w:before="0" w:after="1"/>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4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4449" w:type="dxa"/>
            <w:gridSpan w:val="11"/>
            <w:tcBorders/>
            <w:vAlign w:val="center"/>
          </w:tcPr>
          <w:p>
            <w:pPr>
              <w:pStyle w:val="TableContents"/>
              <w:bidi w:val="0"/>
              <w:spacing w:before="0" w:after="1"/>
              <w:ind w:left="0" w:right="0" w:hanging="0"/>
              <w:jc w:val="center"/>
              <w:rPr/>
            </w:pPr>
            <w:r>
              <w:rPr/>
              <w:t>​</w:t>
            </w:r>
          </w:p>
        </w:tc>
        <w:tc>
          <w:tcPr>
            <w:tcW w:w="193" w:type="dxa"/>
            <w:tcBorders/>
            <w:vAlign w:val="center"/>
          </w:tcPr>
          <w:p>
            <w:pPr>
              <w:pStyle w:val="TableContents"/>
              <w:bidi w:val="0"/>
              <w:spacing w:before="0" w:after="1"/>
              <w:ind w:left="0" w:right="0" w:hanging="0"/>
              <w:jc w:val="center"/>
              <w:rPr/>
            </w:pPr>
            <w:r>
              <w:rPr/>
              <w:t>​</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1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940" w:type="dxa"/>
            <w:tcBorders/>
            <w:shd w:fill="CCEEFF" w:val="clear"/>
            <w:vAlign w:val="center"/>
          </w:tcPr>
          <w:p>
            <w:pPr>
              <w:pStyle w:val="TableContents"/>
              <w:bidi w:val="0"/>
              <w:spacing w:before="0" w:after="1"/>
              <w:ind w:left="0" w:right="0" w:hanging="0"/>
              <w:jc w:val="center"/>
              <w:rPr/>
            </w:pPr>
            <w:r>
              <w:rPr/>
              <w:t>​</w:t>
            </w:r>
          </w:p>
        </w:tc>
        <w:tc>
          <w:tcPr>
            <w:tcW w:w="147"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649"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42" w:type="dxa"/>
            <w:tcBorders/>
            <w:shd w:fill="CCEEFF" w:val="clear"/>
            <w:vAlign w:val="center"/>
          </w:tcPr>
          <w:p>
            <w:pPr>
              <w:pStyle w:val="TableContents"/>
              <w:bidi w:val="0"/>
              <w:spacing w:before="0" w:after="1"/>
              <w:ind w:left="0" w:right="0" w:hanging="0"/>
              <w:jc w:val="center"/>
              <w:rPr/>
            </w:pPr>
            <w:r>
              <w:rPr/>
              <w:t>​</w:t>
            </w:r>
          </w:p>
        </w:tc>
        <w:tc>
          <w:tcPr>
            <w:tcW w:w="193" w:type="dxa"/>
            <w:tcBorders/>
            <w:shd w:fill="CCEEFF" w:val="clear"/>
            <w:vAlign w:val="center"/>
          </w:tcPr>
          <w:p>
            <w:pPr>
              <w:pStyle w:val="TableContents"/>
              <w:bidi w:val="0"/>
              <w:spacing w:before="0" w:after="1"/>
              <w:ind w:left="0" w:right="0" w:hanging="0"/>
              <w:jc w:val="center"/>
              <w:rPr/>
            </w:pPr>
            <w:r>
              <w:rPr/>
              <w:t>​</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1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4,551</w:t>
            </w:r>
          </w:p>
        </w:tc>
        <w:tc>
          <w:tcPr>
            <w:tcW w:w="147"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8,786</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7,646</w:t>
            </w:r>
          </w:p>
        </w:tc>
        <w:tc>
          <w:tcPr>
            <w:tcW w:w="193" w:type="dxa"/>
            <w:tcBorders/>
            <w:vAlign w:val="center"/>
          </w:tcPr>
          <w:p>
            <w:pPr>
              <w:pStyle w:val="TableContents"/>
              <w:bidi w:val="0"/>
              <w:spacing w:before="0" w:after="1"/>
              <w:ind w:left="0" w:right="0" w:hanging="0"/>
              <w:jc w:val="center"/>
              <w:rPr/>
            </w:pPr>
            <w:r>
              <w:rPr/>
              <w:t>​</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interest income </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5,410</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10,665</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9,775</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deposits</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6,477</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 after provision for credit losses</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4,292</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pPr>
            <w:r>
              <w:rPr/>
              <w:t>  ​</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service fees</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noninterest income </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pPr>
            <w:r>
              <w:rPr/>
              <w:t>  ​</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core deposit intangible</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noninterest expense</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(3,256)</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(9,065)</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(benefit):</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pPr>
            <w:r>
              <w:rPr/>
              <w:t>  ​</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Expense (benefit)</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1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47"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Earnings (loss) per share - basic and diluted </w:t>
            </w:r>
          </w:p>
        </w:tc>
        <w:tc>
          <w:tcPr>
            <w:tcW w:w="1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$ 0.01</w:t>
            </w:r>
          </w:p>
        </w:tc>
        <w:tc>
          <w:tcPr>
            <w:tcW w:w="14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(0.00)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shares outstanding - basic and diluted </w:t>
            </w:r>
          </w:p>
        </w:tc>
        <w:tc>
          <w:tcPr>
            <w:tcW w:w="1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7,461,057</w:t>
            </w:r>
          </w:p>
        </w:tc>
        <w:tc>
          <w:tcPr>
            <w:tcW w:w="14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7,457,819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54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940"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64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42"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1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940" w:type="dxa"/>
            <w:tcBorders/>
            <w:shd w:fill="CCEEFF" w:val="clear"/>
            <w:vAlign w:val="center"/>
          </w:tcPr>
          <w:p>
            <w:pPr>
              <w:pStyle w:val="TableContents"/>
              <w:bidi w:val="0"/>
              <w:spacing w:before="0" w:after="1"/>
              <w:ind w:left="0" w:right="0" w:hanging="0"/>
              <w:jc w:val="righ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64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securities available-for-sale, net of income taxes of ($55) for three months ended June 30, 2026 and ($157) for six months ended June 30, 2026, and ($335) for three months ended June 30, 2025 and ($1,240) for six months ended June 30, 2025.</w:t>
            </w:r>
          </w:p>
        </w:tc>
        <w:tc>
          <w:tcPr>
            <w:tcW w:w="146"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47" w:type="dxa"/>
            <w:tcBorders/>
            <w:vAlign w:val="center"/>
          </w:tcPr>
          <w:p>
            <w:pPr>
              <w:pStyle w:val="TableContents"/>
              <w:bidi w:val="0"/>
              <w:spacing w:before="0" w:after="1"/>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193" w:type="dxa"/>
            <w:tcBorders/>
            <w:vAlign w:val="center"/>
          </w:tcPr>
          <w:p>
            <w:pPr>
              <w:pStyle w:val="TableContents"/>
              <w:bidi w:val="0"/>
              <w:spacing w:before="0" w:after="1"/>
              <w:ind w:left="0" w:right="0" w:hanging="0"/>
              <w:jc w:val="left"/>
              <w:rPr/>
            </w:pPr>
            <w:r>
              <w:rPr/>
              <w:t> </w:t>
            </w:r>
          </w:p>
        </w:tc>
      </w:tr>
      <w:tr>
        <w:trPr/>
        <w:tc>
          <w:tcPr>
            <w:tcW w:w="54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income (loss)</w:t>
            </w:r>
          </w:p>
        </w:tc>
        <w:tc>
          <w:tcPr>
            <w:tcW w:w="14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47"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193" w:type="dxa"/>
            <w:tcBorders/>
            <w:shd w:fill="CCEEFF" w:val="clear"/>
            <w:vAlign w:val="center"/>
          </w:tcPr>
          <w:p>
            <w:pPr>
              <w:pStyle w:val="TableContents"/>
              <w:bidi w:val="0"/>
              <w:spacing w:before="0" w:after="1"/>
              <w:ind w:left="0" w:right="0" w:hanging="0"/>
              <w:jc w:val="left"/>
              <w:rPr/>
            </w:pPr>
            <w:r>
              <w:rPr/>
              <w:t> </w:t>
            </w:r>
          </w:p>
        </w:tc>
      </w:tr>
      <w:tr>
        <w:trPr/>
        <w:tc>
          <w:tcPr>
            <w:tcW w:w="54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tc>
        <w:tc>
          <w:tcPr>
            <w:tcW w:w="1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47"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w:t>
            </w:r>
          </w:p>
        </w:tc>
        <w:tc>
          <w:tcPr>
            <w:tcW w:w="1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8" w:name="_568e9015_fabe_4a50_b995_a2beb1e6f06a"/>
      <w:bookmarkEnd w:id="238"/>
      <w:r>
        <w:rPr>
          <w:rFonts w:ascii="Times New Roman;Times;serif" w:hAnsi="Times New Roman;Times;serif"/>
          <w:b/>
          <w:sz w:val="20"/>
        </w:rPr>
        <w:t>HOYNE BANCORP, INC. AND SUBSIDIARY</w:t>
      </w:r>
    </w:p>
    <w:p>
      <w:pPr>
        <w:pStyle w:val="TextBody"/>
        <w:bidi w:val="0"/>
        <w:spacing w:before="0" w:after="0"/>
        <w:ind w:left="0" w:right="0" w:hanging="0"/>
        <w:jc w:val="center"/>
        <w:rPr>
          <w:rFonts w:ascii="Times New Roman;Times;serif" w:hAnsi="Times New Roman;Times;serif"/>
          <w:b/>
          <w:sz w:val="20"/>
        </w:rPr>
      </w:pPr>
      <w:bookmarkStart w:id="239" w:name="STATEMENTOFEQUITY_882285"/>
      <w:bookmarkEnd w:id="239"/>
      <w:r>
        <w:rPr>
          <w:rFonts w:ascii="Times New Roman;Times;serif" w:hAnsi="Times New Roman;Times;serif"/>
          <w:b/>
          <w:sz w:val="20"/>
        </w:rPr>
        <w:t>CONSOLIDATED STATEMENT OF CHANGES IN STOCKHOLDERS’ EQUITY –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0" w:name="Tc_E5Tkp9mGOUezTnwZSbB7xg_37_17"/>
      <w:bookmarkStart w:id="241" w:name="Tc_STO3Vx8yO0qs1xhdbLY-zw_37_14"/>
      <w:bookmarkStart w:id="242" w:name="Tc_PQduYxZW_0Sgx5oIZMAc6A_37_11"/>
      <w:bookmarkStart w:id="243" w:name="Tc_l8tOCzz_Fk-jVoqcuVZHeA_37_8"/>
      <w:bookmarkStart w:id="244" w:name="Tc_0pm5rDC40UmqkkVckyL22Q_37_5"/>
      <w:bookmarkStart w:id="245" w:name="Tc_NdyOgx4MuUCPy_MdlnrUnA_37_2"/>
      <w:bookmarkStart w:id="246" w:name="Tc_r5sULhOdu0G2EFXFidblCQ_37_0"/>
      <w:bookmarkStart w:id="247" w:name="Tc_fLXErk6sYUiiTn7hQBtO9A_36_0"/>
      <w:bookmarkStart w:id="248" w:name="Tc_zQHjrKMQCU6a3a4RHl86PQ_35_3"/>
      <w:bookmarkStart w:id="249" w:name="Tc_dZUq0wmd3EaVq76z1FvjJQ_35_0"/>
      <w:bookmarkStart w:id="250" w:name="Tc_41E5ZaGQkke4E3b3iP9GAg_34_0"/>
      <w:bookmarkStart w:id="251" w:name="Tc_o2Rh75t8A0yAPIOLFKnJzQ_33_17"/>
      <w:bookmarkStart w:id="252" w:name="Tc_ngT_KlU3K0usUZP7TQ7qYw_33_14"/>
      <w:bookmarkStart w:id="253" w:name="Tc_Cmiriak9_kyTCfnXQUs2Aw_33_11"/>
      <w:bookmarkStart w:id="254" w:name="Tc_8wrsKVlFNkCUjIekoiA5YA_33_8"/>
      <w:bookmarkStart w:id="255" w:name="Tc_HrY27pSJdEicajZZ2o7Kxw_33_5"/>
      <w:bookmarkStart w:id="256" w:name="Tc_2HKsFI9edUWYH3IbHnDtKA_33_2"/>
      <w:bookmarkStart w:id="257" w:name="Tc_1Vz8CkXjc0GIrmXAeZRl-A_33_0"/>
      <w:bookmarkStart w:id="258" w:name="Tc_jMBqK8Adqk2K2JGLQZW1Vw_32_11"/>
      <w:bookmarkStart w:id="259" w:name="Tc_5U9HsBRYYkCdN5TA8CusdA_31_11"/>
      <w:bookmarkStart w:id="260" w:name="Tc_ossbKpJHSU2KL4vpAxJZ7A_30_17"/>
      <w:bookmarkStart w:id="261" w:name="Tc_9iacvlXCXUObyPvvTPEWSQ_30_14"/>
      <w:bookmarkStart w:id="262" w:name="Tc_94gkrHE6qE-FgsznpoLuzg_30_11"/>
      <w:bookmarkStart w:id="263" w:name="Tc_p3c0dEr3tUqYi4DJVj4lZw_30_9"/>
      <w:bookmarkStart w:id="264" w:name="Tc_yvtWnccCNUOMGtnQCsHthA_30_8"/>
      <w:bookmarkStart w:id="265" w:name="Tc_euKewM6kiEalS0lP2rxkcg_30_6"/>
      <w:bookmarkStart w:id="266" w:name="Tc_HPzqjqXJgkCaigwlTjdF2Q_30_5"/>
      <w:bookmarkStart w:id="267" w:name="Tc_lLlHCl5MzU-pMOi7L0NR_w_30_3"/>
      <w:bookmarkStart w:id="268" w:name="Tc_ufJJ9ZhuzU-jqXVnsHKnkw_30_2"/>
      <w:bookmarkStart w:id="269" w:name="Tc_0JCnroDyPUC2pqXAQ3K7Hw_30_0"/>
      <w:bookmarkStart w:id="270" w:name="Tc_42c4FyOruUaOQFXd0Qu2aw_29_9"/>
      <w:bookmarkStart w:id="271" w:name="Tc_WUKSPdabDEOFkuiPgWIB5Q_29_6"/>
      <w:bookmarkStart w:id="272" w:name="Tc_OQeKcaHxWEG110TyDfZU4A_29_3"/>
      <w:bookmarkStart w:id="273" w:name="Tc_YmR1WDQiF0Ovi3yIZq1cNA_29_0"/>
      <w:bookmarkStart w:id="274" w:name="Tc_4MJ5lCswBUCz5-B5VPuFXg_28_9"/>
      <w:bookmarkStart w:id="275" w:name="Tc_XnHuFXJjYUyfBJgthiNZVQ_28_6"/>
      <w:bookmarkStart w:id="276" w:name="Tc_fPYB5wSBdES5ERO_X5urBA_28_3"/>
      <w:bookmarkStart w:id="277" w:name="Tc_CvlP5stxMECdV7OAtRvOkw_28_0"/>
      <w:bookmarkStart w:id="278" w:name="Tc_T1Se8kuFJUi8RKmP1QtWZQ_27_17"/>
      <w:bookmarkStart w:id="279" w:name="Tc_6swCz8ArDU6FY6REJvDisQ_27_14"/>
      <w:bookmarkStart w:id="280" w:name="Tc_3bIOy1nlkkS4Vm0HezDnLg_27_11"/>
      <w:bookmarkStart w:id="281" w:name="Tc_nmlQ6wHBl0CXfMRQB5xiHw_27_9"/>
      <w:bookmarkStart w:id="282" w:name="Tc_GSITfln9n0-Bz1dGYPtvnw_27_8"/>
      <w:bookmarkStart w:id="283" w:name="Tc_WxDYF8hyv0KE5BlpOdn7eQ_27_6"/>
      <w:bookmarkStart w:id="284" w:name="Tc_eEOCipHz4kifWjJQqGApSQ_27_5"/>
      <w:bookmarkStart w:id="285" w:name="Tc_3JX79aLtu06g_K7LaukVJA_27_3"/>
      <w:bookmarkStart w:id="286" w:name="Tc_UtYEe5HfiUO2w0h6Kczo_Q_27_2"/>
      <w:bookmarkStart w:id="287" w:name="Tc_eDFYgsJH2kila6cG9MijEw_27_0"/>
      <w:bookmarkStart w:id="288" w:name="Tc_GvkALJ1BbEqXBlIMH0C9uQ_26_11"/>
      <w:bookmarkStart w:id="289" w:name="Tc_XeVt5BHlzUWEf0ioCn2C-Q_25_11"/>
      <w:bookmarkStart w:id="290" w:name="Tc_zkuxGFtJS0-6op1VU3vskw_24_17"/>
      <w:bookmarkStart w:id="291" w:name="Tc_x4UMSGxjT02aq6O3uu67RQ_24_14"/>
      <w:bookmarkStart w:id="292" w:name="Tc_aqnDofUoq0mY8vgKpQiEWA_24_11"/>
      <w:bookmarkStart w:id="293" w:name="Tc_USCiP9t3eECvm1K_dmWeWw_24_8"/>
      <w:bookmarkStart w:id="294" w:name="Tc_O9IiVKK-40-dtE7Wrfa5zQ_24_5"/>
      <w:bookmarkStart w:id="295" w:name="Tc_txHi_rxiA0CqcGLvYfpe3w_24_2"/>
      <w:bookmarkStart w:id="296" w:name="Tc_kFtSQmwiY0qh1000W-ZL2w_23_14"/>
      <w:bookmarkStart w:id="297" w:name="Tc_n2OcLCyubUeOg2MKf_n2KA_23_11"/>
      <w:bookmarkStart w:id="298" w:name="Tc_xvDUINwhuE-6_-HLsXxJ6Q_23_8"/>
      <w:bookmarkStart w:id="299" w:name="Tc_mb8bxibdWEyBPobpXgAAtg_23_5"/>
      <w:bookmarkStart w:id="300" w:name="Tc_rcU1Rng-i0OMCONm1DyK1g_23_2"/>
      <w:bookmarkStart w:id="301" w:name="Tc_yd-cSCNKxkWtmijfRv7WIA_22_14"/>
      <w:bookmarkStart w:id="302" w:name="Tc_JV-MCxt-NEu2HrtmyEAvTQ_22_5"/>
      <w:bookmarkStart w:id="303" w:name="Tc_RH2dP1cwRkKf69DFzmvVjw_21_14"/>
      <w:bookmarkStart w:id="304" w:name="Tc_lgIj4K22NkSA9PKHNE3RGg_18_17"/>
      <w:bookmarkStart w:id="305" w:name="Tc_6wmLz2RfUki2clR-JfX-Lg_18_14"/>
      <w:bookmarkStart w:id="306" w:name="Tc_r9V6EX46DE2cJesQhg4DNQ_18_11"/>
      <w:bookmarkStart w:id="307" w:name="Tc_Szi_1qhqvUyLzUFc3a65eA_18_8"/>
      <w:bookmarkStart w:id="308" w:name="Tc_AZ6VWhL7ikCJSzCLu76-1w_18_5"/>
      <w:bookmarkStart w:id="309" w:name="Tc_FUqu4bTz1Ei4MgX3YspYMw_18_2"/>
      <w:bookmarkStart w:id="310" w:name="Tc_y_W3aVZykUW6DMgIl2nVXA_18_0"/>
      <w:bookmarkStart w:id="311" w:name="Tc_ivLVrEQYKEqP-ozdW6dz5Q_17_9"/>
      <w:bookmarkStart w:id="312" w:name="Tc_oue7Pbx8xUCtXEsJcHpTYQ_17_6"/>
      <w:bookmarkStart w:id="313" w:name="Tc_fuYwBa4FwkGtUy6lYwjhHA_17_3"/>
      <w:bookmarkStart w:id="314" w:name="Tc_qQ8Fu3xZe0-chLfDiEuI6w_17_0"/>
      <w:bookmarkStart w:id="315" w:name="Tc_DxakyLGch0msqsVYGFWNkg_16_3"/>
      <w:bookmarkStart w:id="316" w:name="Tc_flZ6igbNGUamvEBzlVI4Hw_16_0"/>
      <w:bookmarkStart w:id="317" w:name="Tc_zfHx9dfiAkWTgz4EvVZuWw_15_9"/>
      <w:bookmarkStart w:id="318" w:name="Tc_3aMDLVSF0k67qNp9Rtw-Rg_15_6"/>
      <w:bookmarkStart w:id="319" w:name="Tc_CLVupgcD7UysrMwLOWnyLw_15_3"/>
      <w:bookmarkStart w:id="320" w:name="Tc_QmJT4hZQMkGSMhi_aZpjzA_15_0"/>
      <w:bookmarkStart w:id="321" w:name="Tc_WP1QSbgmzU-4QwjRAI1F9Q_14_17"/>
      <w:bookmarkStart w:id="322" w:name="Tc_1JBcc3kKo0-VBcB-WncFIw_14_14"/>
      <w:bookmarkStart w:id="323" w:name="Tc_24W0KBRr0EWTISGARUsnsA_14_11"/>
      <w:bookmarkStart w:id="324" w:name="Tc_uowZkp2m_UKtCQEFHnsrOg_14_8"/>
      <w:bookmarkStart w:id="325" w:name="Tc_Lt9IL8BVZ0ysTpsQ5AxlgQ_14_5"/>
      <w:bookmarkStart w:id="326" w:name="Tc_ixrk6ur_N0GOdr6ODrH5tA_14_2"/>
      <w:bookmarkStart w:id="327" w:name="Tc_NDb1RPUXK0uPhrXso-6mzA_14_0"/>
      <w:bookmarkStart w:id="328" w:name="Tc_YvlfvFeJ6kSHEB_IUrHqEw_13_11"/>
      <w:bookmarkStart w:id="329" w:name="Tc_OdTUKfA3NU-cguNvancbyQ_12_11"/>
      <w:bookmarkStart w:id="330" w:name="Tc_pMBCVfAqT0e7tIGqJgWGnA_10_17"/>
      <w:bookmarkStart w:id="331" w:name="Tc_HQGTQ5MRb0eZuSHeiYYcGg_10_14"/>
      <w:bookmarkStart w:id="332" w:name="Tc_B9EiqTX05kSD1KsNiMU5cA_10_11"/>
      <w:bookmarkStart w:id="333" w:name="Tc_M6kwbGE4bkShJkKE769R_A_10_9"/>
      <w:bookmarkStart w:id="334" w:name="Tc_YDh0XbSAiUy1qyG-rxcAAA_10_8"/>
      <w:bookmarkStart w:id="335" w:name="Tc_VkOMmHwd1k2HRI1BWozGQg_10_6"/>
      <w:bookmarkStart w:id="336" w:name="Tc_1LvwbCpE50SnqRflpzAZ3Q_10_5"/>
      <w:bookmarkStart w:id="337" w:name="Tc_--TNkR44skiwL_OuQhUoyQ_10_3"/>
      <w:bookmarkStart w:id="338" w:name="Tc_sYcH_-djG0CU-jAsxSpzPQ_10_2"/>
      <w:bookmarkStart w:id="339" w:name="Tc_jUoAXY6IrECA5_adc90Vug_10_0"/>
      <w:bookmarkStart w:id="340" w:name="Tc_L1jxr65fvUSo3hQfgInHIQ_9_9"/>
      <w:bookmarkStart w:id="341" w:name="Tc_16vtmtP8b0aW0EbscMzmPA_9_6"/>
      <w:bookmarkStart w:id="342" w:name="Tc_K1IanT_qaEmh79uzWjQTTA_9_3"/>
      <w:bookmarkStart w:id="343" w:name="Tc_v9oYQoCASUGSjXtriF-EBw_9_0"/>
      <w:bookmarkStart w:id="344" w:name="Tc_FeAeQ2Ng20ii1rLMGTkf3w_8_9"/>
      <w:bookmarkStart w:id="345" w:name="Tc_eSpAlCnSv0WxDw525GG1aA_8_6"/>
      <w:bookmarkStart w:id="346" w:name="Tc_pQ0zO3gXbUOv3aqNxqp34Q_8_3"/>
      <w:bookmarkStart w:id="347" w:name="Tc_9sA18TGjZUu9ONqnxqssTg_8_0"/>
      <w:bookmarkStart w:id="348" w:name="Tc_-0XWC5BCCkqZhLo-CP_vYA_7_17"/>
      <w:bookmarkStart w:id="349" w:name="Tc_C4MaWt2f5UmHiaAcuu2fwg_7_14"/>
      <w:bookmarkStart w:id="350" w:name="Tc_wvsYjnTask-7dgJJCnbmXw_7_11"/>
      <w:bookmarkStart w:id="351" w:name="Tc_NIbH_WdVREOM03My5szEhA_7_9"/>
      <w:bookmarkStart w:id="352" w:name="Tc_JoENgkm7kk2ZB-LlTKi6rQ_7_8"/>
      <w:bookmarkStart w:id="353" w:name="Tc_D-3RI-tcf0SgFSQGH5ia8w_7_6"/>
      <w:bookmarkStart w:id="354" w:name="Tc_8n48LUmEDUifBWAjOLCLgA_7_5"/>
      <w:bookmarkStart w:id="355" w:name="Tc_rAPx7KuPCkG5yZCnazVpGw_7_3"/>
      <w:bookmarkStart w:id="356" w:name="Tc_OKvcGW0Q9E2ele-OhnvjLQ_7_2"/>
      <w:bookmarkStart w:id="357" w:name="Tc_qr-YnxiWHUOirdcWLQej7Q_7_0"/>
      <w:bookmarkStart w:id="358" w:name="Tc_EOw3RIqbDkqWbSfWge-L3Q_6_11"/>
      <w:bookmarkStart w:id="359" w:name="Tc_OMKATVYVL0e6bXRyXSA45w_5_11"/>
      <w:bookmarkStart w:id="360" w:name="Tc_JftFzh4wSkOtV1dNTfhKvg_4_17"/>
      <w:bookmarkStart w:id="361" w:name="Tc_M3u1K56sSkWoV525-SzFGA_4_14"/>
      <w:bookmarkStart w:id="362" w:name="Tc_ORML0KzHXEyTlVIe4VIRrQ_4_11"/>
      <w:bookmarkStart w:id="363" w:name="Tc_X7Njb10Pb0-b9FK8uFFtGw_4_8"/>
      <w:bookmarkStart w:id="364" w:name="Tc_qAvjj6WwQk2SNKyJWrJ9GA_4_5"/>
      <w:bookmarkStart w:id="365" w:name="Tc_rxWjrgdgkU2jGA_y5caVYQ_4_2"/>
      <w:bookmarkStart w:id="366" w:name="Tc_OL4i6kEdaEa8tP6wCcZyiA_3_14"/>
      <w:bookmarkStart w:id="367" w:name="Tc_Lvx3thTSrESfhQVV3uAv3A_3_11"/>
      <w:bookmarkStart w:id="368" w:name="Tc_DsfqXmGWIUSzNhU5Znding_3_8"/>
      <w:bookmarkStart w:id="369" w:name="Tc_4TpBmBZMeUOpZVCuyxbc1g_3_5"/>
      <w:bookmarkStart w:id="370" w:name="Tc_90Pz5KqiQkG8BhGwCNUnkg_3_2"/>
      <w:bookmarkStart w:id="371" w:name="Tc_XSXmqU2yIEK03MrS99CPkA_2_14"/>
      <w:bookmarkStart w:id="372" w:name="Tc_tb_ZH45yo0iOCh_53lLYoQ_2_5"/>
      <w:bookmarkStart w:id="373" w:name="Tc_4U8E8VUYuEC86VVOBGka3A_1_14"/>
      <w:bookmarkStart w:id="374" w:name="_7b0f4361_4c77_4e6a_a21d_54dc80e51891"/>
      <w:bookmarkStart w:id="375" w:name="Tc_E5Tkp9mGOUezTnwZSbB7xg_37_17"/>
      <w:bookmarkStart w:id="376" w:name="Tc_STO3Vx8yO0qs1xhdbLY-zw_37_14"/>
      <w:bookmarkStart w:id="377" w:name="Tc_PQduYxZW_0Sgx5oIZMAc6A_37_11"/>
      <w:bookmarkStart w:id="378" w:name="Tc_l8tOCzz_Fk-jVoqcuVZHeA_37_8"/>
      <w:bookmarkStart w:id="379" w:name="Tc_0pm5rDC40UmqkkVckyL22Q_37_5"/>
      <w:bookmarkStart w:id="380" w:name="Tc_NdyOgx4MuUCPy_MdlnrUnA_37_2"/>
      <w:bookmarkStart w:id="381" w:name="Tc_r5sULhOdu0G2EFXFidblCQ_37_0"/>
      <w:bookmarkStart w:id="382" w:name="Tc_fLXErk6sYUiiTn7hQBtO9A_36_0"/>
      <w:bookmarkStart w:id="383" w:name="Tc_zQHjrKMQCU6a3a4RHl86PQ_35_3"/>
      <w:bookmarkStart w:id="384" w:name="Tc_dZUq0wmd3EaVq76z1FvjJQ_35_0"/>
      <w:bookmarkStart w:id="385" w:name="Tc_41E5ZaGQkke4E3b3iP9GAg_34_0"/>
      <w:bookmarkStart w:id="386" w:name="Tc_o2Rh75t8A0yAPIOLFKnJzQ_33_17"/>
      <w:bookmarkStart w:id="387" w:name="Tc_ngT_KlU3K0usUZP7TQ7qYw_33_14"/>
      <w:bookmarkStart w:id="388" w:name="Tc_Cmiriak9_kyTCfnXQUs2Aw_33_11"/>
      <w:bookmarkStart w:id="389" w:name="Tc_8wrsKVlFNkCUjIekoiA5YA_33_8"/>
      <w:bookmarkStart w:id="390" w:name="Tc_HrY27pSJdEicajZZ2o7Kxw_33_5"/>
      <w:bookmarkStart w:id="391" w:name="Tc_2HKsFI9edUWYH3IbHnDtKA_33_2"/>
      <w:bookmarkStart w:id="392" w:name="Tc_1Vz8CkXjc0GIrmXAeZRl-A_33_0"/>
      <w:bookmarkStart w:id="393" w:name="Tc_jMBqK8Adqk2K2JGLQZW1Vw_32_11"/>
      <w:bookmarkStart w:id="394" w:name="Tc_5U9HsBRYYkCdN5TA8CusdA_31_11"/>
      <w:bookmarkStart w:id="395" w:name="Tc_ossbKpJHSU2KL4vpAxJZ7A_30_17"/>
      <w:bookmarkStart w:id="396" w:name="Tc_9iacvlXCXUObyPvvTPEWSQ_30_14"/>
      <w:bookmarkStart w:id="397" w:name="Tc_94gkrHE6qE-FgsznpoLuzg_30_11"/>
      <w:bookmarkStart w:id="398" w:name="Tc_p3c0dEr3tUqYi4DJVj4lZw_30_9"/>
      <w:bookmarkStart w:id="399" w:name="Tc_yvtWnccCNUOMGtnQCsHthA_30_8"/>
      <w:bookmarkStart w:id="400" w:name="Tc_euKewM6kiEalS0lP2rxkcg_30_6"/>
      <w:bookmarkStart w:id="401" w:name="Tc_HPzqjqXJgkCaigwlTjdF2Q_30_5"/>
      <w:bookmarkStart w:id="402" w:name="Tc_lLlHCl5MzU-pMOi7L0NR_w_30_3"/>
      <w:bookmarkStart w:id="403" w:name="Tc_ufJJ9ZhuzU-jqXVnsHKnkw_30_2"/>
      <w:bookmarkStart w:id="404" w:name="Tc_0JCnroDyPUC2pqXAQ3K7Hw_30_0"/>
      <w:bookmarkStart w:id="405" w:name="Tc_42c4FyOruUaOQFXd0Qu2aw_29_9"/>
      <w:bookmarkStart w:id="406" w:name="Tc_WUKSPdabDEOFkuiPgWIB5Q_29_6"/>
      <w:bookmarkStart w:id="407" w:name="Tc_OQeKcaHxWEG110TyDfZU4A_29_3"/>
      <w:bookmarkStart w:id="408" w:name="Tc_YmR1WDQiF0Ovi3yIZq1cNA_29_0"/>
      <w:bookmarkStart w:id="409" w:name="Tc_4MJ5lCswBUCz5-B5VPuFXg_28_9"/>
      <w:bookmarkStart w:id="410" w:name="Tc_XnHuFXJjYUyfBJgthiNZVQ_28_6"/>
      <w:bookmarkStart w:id="411" w:name="Tc_fPYB5wSBdES5ERO_X5urBA_28_3"/>
      <w:bookmarkStart w:id="412" w:name="Tc_CvlP5stxMECdV7OAtRvOkw_28_0"/>
      <w:bookmarkStart w:id="413" w:name="Tc_T1Se8kuFJUi8RKmP1QtWZQ_27_17"/>
      <w:bookmarkStart w:id="414" w:name="Tc_6swCz8ArDU6FY6REJvDisQ_27_14"/>
      <w:bookmarkStart w:id="415" w:name="Tc_3bIOy1nlkkS4Vm0HezDnLg_27_11"/>
      <w:bookmarkStart w:id="416" w:name="Tc_nmlQ6wHBl0CXfMRQB5xiHw_27_9"/>
      <w:bookmarkStart w:id="417" w:name="Tc_GSITfln9n0-Bz1dGYPtvnw_27_8"/>
      <w:bookmarkStart w:id="418" w:name="Tc_WxDYF8hyv0KE5BlpOdn7eQ_27_6"/>
      <w:bookmarkStart w:id="419" w:name="Tc_eEOCipHz4kifWjJQqGApSQ_27_5"/>
      <w:bookmarkStart w:id="420" w:name="Tc_3JX79aLtu06g_K7LaukVJA_27_3"/>
      <w:bookmarkStart w:id="421" w:name="Tc_UtYEe5HfiUO2w0h6Kczo_Q_27_2"/>
      <w:bookmarkStart w:id="422" w:name="Tc_eDFYgsJH2kila6cG9MijEw_27_0"/>
      <w:bookmarkStart w:id="423" w:name="Tc_GvkALJ1BbEqXBlIMH0C9uQ_26_11"/>
      <w:bookmarkStart w:id="424" w:name="Tc_XeVt5BHlzUWEf0ioCn2C-Q_25_11"/>
      <w:bookmarkStart w:id="425" w:name="Tc_zkuxGFtJS0-6op1VU3vskw_24_17"/>
      <w:bookmarkStart w:id="426" w:name="Tc_x4UMSGxjT02aq6O3uu67RQ_24_14"/>
      <w:bookmarkStart w:id="427" w:name="Tc_aqnDofUoq0mY8vgKpQiEWA_24_11"/>
      <w:bookmarkStart w:id="428" w:name="Tc_USCiP9t3eECvm1K_dmWeWw_24_8"/>
      <w:bookmarkStart w:id="429" w:name="Tc_O9IiVKK-40-dtE7Wrfa5zQ_24_5"/>
      <w:bookmarkStart w:id="430" w:name="Tc_txHi_rxiA0CqcGLvYfpe3w_24_2"/>
      <w:bookmarkStart w:id="431" w:name="Tc_kFtSQmwiY0qh1000W-ZL2w_23_14"/>
      <w:bookmarkStart w:id="432" w:name="Tc_n2OcLCyubUeOg2MKf_n2KA_23_11"/>
      <w:bookmarkStart w:id="433" w:name="Tc_xvDUINwhuE-6_-HLsXxJ6Q_23_8"/>
      <w:bookmarkStart w:id="434" w:name="Tc_mb8bxibdWEyBPobpXgAAtg_23_5"/>
      <w:bookmarkStart w:id="435" w:name="Tc_rcU1Rng-i0OMCONm1DyK1g_23_2"/>
      <w:bookmarkStart w:id="436" w:name="Tc_yd-cSCNKxkWtmijfRv7WIA_22_14"/>
      <w:bookmarkStart w:id="437" w:name="Tc_JV-MCxt-NEu2HrtmyEAvTQ_22_5"/>
      <w:bookmarkStart w:id="438" w:name="Tc_RH2dP1cwRkKf69DFzmvVjw_21_14"/>
      <w:bookmarkStart w:id="439" w:name="Tc_lgIj4K22NkSA9PKHNE3RGg_18_17"/>
      <w:bookmarkStart w:id="440" w:name="Tc_6wmLz2RfUki2clR-JfX-Lg_18_14"/>
      <w:bookmarkStart w:id="441" w:name="Tc_r9V6EX46DE2cJesQhg4DNQ_18_11"/>
      <w:bookmarkStart w:id="442" w:name="Tc_Szi_1qhqvUyLzUFc3a65eA_18_8"/>
      <w:bookmarkStart w:id="443" w:name="Tc_AZ6VWhL7ikCJSzCLu76-1w_18_5"/>
      <w:bookmarkStart w:id="444" w:name="Tc_FUqu4bTz1Ei4MgX3YspYMw_18_2"/>
      <w:bookmarkStart w:id="445" w:name="Tc_y_W3aVZykUW6DMgIl2nVXA_18_0"/>
      <w:bookmarkStart w:id="446" w:name="Tc_ivLVrEQYKEqP-ozdW6dz5Q_17_9"/>
      <w:bookmarkStart w:id="447" w:name="Tc_oue7Pbx8xUCtXEsJcHpTYQ_17_6"/>
      <w:bookmarkStart w:id="448" w:name="Tc_fuYwBa4FwkGtUy6lYwjhHA_17_3"/>
      <w:bookmarkStart w:id="449" w:name="Tc_qQ8Fu3xZe0-chLfDiEuI6w_17_0"/>
      <w:bookmarkStart w:id="450" w:name="Tc_DxakyLGch0msqsVYGFWNkg_16_3"/>
      <w:bookmarkStart w:id="451" w:name="Tc_flZ6igbNGUamvEBzlVI4Hw_16_0"/>
      <w:bookmarkStart w:id="452" w:name="Tc_zfHx9dfiAkWTgz4EvVZuWw_15_9"/>
      <w:bookmarkStart w:id="453" w:name="Tc_3aMDLVSF0k67qNp9Rtw-Rg_15_6"/>
      <w:bookmarkStart w:id="454" w:name="Tc_CLVupgcD7UysrMwLOWnyLw_15_3"/>
      <w:bookmarkStart w:id="455" w:name="Tc_QmJT4hZQMkGSMhi_aZpjzA_15_0"/>
      <w:bookmarkStart w:id="456" w:name="Tc_WP1QSbgmzU-4QwjRAI1F9Q_14_17"/>
      <w:bookmarkStart w:id="457" w:name="Tc_1JBcc3kKo0-VBcB-WncFIw_14_14"/>
      <w:bookmarkStart w:id="458" w:name="Tc_24W0KBRr0EWTISGARUsnsA_14_11"/>
      <w:bookmarkStart w:id="459" w:name="Tc_uowZkp2m_UKtCQEFHnsrOg_14_8"/>
      <w:bookmarkStart w:id="460" w:name="Tc_Lt9IL8BVZ0ysTpsQ5AxlgQ_14_5"/>
      <w:bookmarkStart w:id="461" w:name="Tc_ixrk6ur_N0GOdr6ODrH5tA_14_2"/>
      <w:bookmarkStart w:id="462" w:name="Tc_NDb1RPUXK0uPhrXso-6mzA_14_0"/>
      <w:bookmarkStart w:id="463" w:name="Tc_YvlfvFeJ6kSHEB_IUrHqEw_13_11"/>
      <w:bookmarkStart w:id="464" w:name="Tc_OdTUKfA3NU-cguNvancbyQ_12_11"/>
      <w:bookmarkStart w:id="465" w:name="Tc_pMBCVfAqT0e7tIGqJgWGnA_10_17"/>
      <w:bookmarkStart w:id="466" w:name="Tc_HQGTQ5MRb0eZuSHeiYYcGg_10_14"/>
      <w:bookmarkStart w:id="467" w:name="Tc_B9EiqTX05kSD1KsNiMU5cA_10_11"/>
      <w:bookmarkStart w:id="468" w:name="Tc_M6kwbGE4bkShJkKE769R_A_10_9"/>
      <w:bookmarkStart w:id="469" w:name="Tc_YDh0XbSAiUy1qyG-rxcAAA_10_8"/>
      <w:bookmarkStart w:id="470" w:name="Tc_VkOMmHwd1k2HRI1BWozGQg_10_6"/>
      <w:bookmarkStart w:id="471" w:name="Tc_1LvwbCpE50SnqRflpzAZ3Q_10_5"/>
      <w:bookmarkStart w:id="472" w:name="Tc_--TNkR44skiwL_OuQhUoyQ_10_3"/>
      <w:bookmarkStart w:id="473" w:name="Tc_sYcH_-djG0CU-jAsxSpzPQ_10_2"/>
      <w:bookmarkStart w:id="474" w:name="Tc_jUoAXY6IrECA5_adc90Vug_10_0"/>
      <w:bookmarkStart w:id="475" w:name="Tc_L1jxr65fvUSo3hQfgInHIQ_9_9"/>
      <w:bookmarkStart w:id="476" w:name="Tc_16vtmtP8b0aW0EbscMzmPA_9_6"/>
      <w:bookmarkStart w:id="477" w:name="Tc_K1IanT_qaEmh79uzWjQTTA_9_3"/>
      <w:bookmarkStart w:id="478" w:name="Tc_v9oYQoCASUGSjXtriF-EBw_9_0"/>
      <w:bookmarkStart w:id="479" w:name="Tc_FeAeQ2Ng20ii1rLMGTkf3w_8_9"/>
      <w:bookmarkStart w:id="480" w:name="Tc_eSpAlCnSv0WxDw525GG1aA_8_6"/>
      <w:bookmarkStart w:id="481" w:name="Tc_pQ0zO3gXbUOv3aqNxqp34Q_8_3"/>
      <w:bookmarkStart w:id="482" w:name="Tc_9sA18TGjZUu9ONqnxqssTg_8_0"/>
      <w:bookmarkStart w:id="483" w:name="Tc_-0XWC5BCCkqZhLo-CP_vYA_7_17"/>
      <w:bookmarkStart w:id="484" w:name="Tc_C4MaWt2f5UmHiaAcuu2fwg_7_14"/>
      <w:bookmarkStart w:id="485" w:name="Tc_wvsYjnTask-7dgJJCnbmXw_7_11"/>
      <w:bookmarkStart w:id="486" w:name="Tc_NIbH_WdVREOM03My5szEhA_7_9"/>
      <w:bookmarkStart w:id="487" w:name="Tc_JoENgkm7kk2ZB-LlTKi6rQ_7_8"/>
      <w:bookmarkStart w:id="488" w:name="Tc_D-3RI-tcf0SgFSQGH5ia8w_7_6"/>
      <w:bookmarkStart w:id="489" w:name="Tc_8n48LUmEDUifBWAjOLCLgA_7_5"/>
      <w:bookmarkStart w:id="490" w:name="Tc_rAPx7KuPCkG5yZCnazVpGw_7_3"/>
      <w:bookmarkStart w:id="491" w:name="Tc_OKvcGW0Q9E2ele-OhnvjLQ_7_2"/>
      <w:bookmarkStart w:id="492" w:name="Tc_qr-YnxiWHUOirdcWLQej7Q_7_0"/>
      <w:bookmarkStart w:id="493" w:name="Tc_EOw3RIqbDkqWbSfWge-L3Q_6_11"/>
      <w:bookmarkStart w:id="494" w:name="Tc_OMKATVYVL0e6bXRyXSA45w_5_11"/>
      <w:bookmarkStart w:id="495" w:name="Tc_JftFzh4wSkOtV1dNTfhKvg_4_17"/>
      <w:bookmarkStart w:id="496" w:name="Tc_M3u1K56sSkWoV525-SzFGA_4_14"/>
      <w:bookmarkStart w:id="497" w:name="Tc_ORML0KzHXEyTlVIe4VIRrQ_4_11"/>
      <w:bookmarkStart w:id="498" w:name="Tc_X7Njb10Pb0-b9FK8uFFtGw_4_8"/>
      <w:bookmarkStart w:id="499" w:name="Tc_qAvjj6WwQk2SNKyJWrJ9GA_4_5"/>
      <w:bookmarkStart w:id="500" w:name="Tc_rxWjrgdgkU2jGA_y5caVYQ_4_2"/>
      <w:bookmarkStart w:id="501" w:name="Tc_OL4i6kEdaEa8tP6wCcZyiA_3_14"/>
      <w:bookmarkStart w:id="502" w:name="Tc_Lvx3thTSrESfhQVV3uAv3A_3_11"/>
      <w:bookmarkStart w:id="503" w:name="Tc_DsfqXmGWIUSzNhU5Znding_3_8"/>
      <w:bookmarkStart w:id="504" w:name="Tc_4TpBmBZMeUOpZVCuyxbc1g_3_5"/>
      <w:bookmarkStart w:id="505" w:name="Tc_90Pz5KqiQkG8BhGwCNUnkg_3_2"/>
      <w:bookmarkStart w:id="506" w:name="Tc_XSXmqU2yIEK03MrS99CPkA_2_14"/>
      <w:bookmarkStart w:id="507" w:name="Tc_tb_ZH45yo0iOCh_53lLYoQ_2_5"/>
      <w:bookmarkStart w:id="508" w:name="Tc_4U8E8VUYuEC86VVOBGka3A_1_14"/>
      <w:bookmarkStart w:id="509" w:name="_7b0f4361_4c77_4e6a_a21d_54dc80e51891"/>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tbl>
      <w:tblPr>
        <w:tblW w:w="10205" w:type="dxa"/>
        <w:jc w:val="left"/>
        <w:tblInd w:w="0" w:type="dxa"/>
        <w:tblLayout w:type="fixed"/>
        <w:tblCellMar>
          <w:top w:w="0" w:type="dxa"/>
          <w:left w:w="0" w:type="dxa"/>
          <w:bottom w:w="0" w:type="dxa"/>
          <w:right w:w="0" w:type="dxa"/>
        </w:tblCellMar>
      </w:tblPr>
      <w:tblGrid>
        <w:gridCol w:w="2650"/>
        <w:gridCol w:w="109"/>
        <w:gridCol w:w="290"/>
        <w:gridCol w:w="476"/>
        <w:gridCol w:w="109"/>
        <w:gridCol w:w="310"/>
        <w:gridCol w:w="932"/>
        <w:gridCol w:w="346"/>
        <w:gridCol w:w="264"/>
        <w:gridCol w:w="847"/>
        <w:gridCol w:w="346"/>
        <w:gridCol w:w="211"/>
        <w:gridCol w:w="781"/>
        <w:gridCol w:w="109"/>
        <w:gridCol w:w="270"/>
        <w:gridCol w:w="946"/>
        <w:gridCol w:w="109"/>
        <w:gridCol w:w="211"/>
        <w:gridCol w:w="889"/>
      </w:tblGrid>
      <w:tr>
        <w:trPr/>
        <w:tc>
          <w:tcPr>
            <w:tcW w:w="2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82750" cy="175260"/>
                      <wp:effectExtent l="0" t="0" r="0" b="0"/>
                      <wp:wrapNone/>
                      <wp:docPr id="26" name="Frame25"/>
                      <a:graphic xmlns:a="http://schemas.openxmlformats.org/drawingml/2006/main">
                        <a:graphicData uri="http://schemas.microsoft.com/office/word/2010/wordprocessingShape">
                          <wps:wsp>
                            <wps:cNvSpPr txBox="1"/>
                            <wps:spPr>
                              <a:xfrm>
                                <a:off x="0" y="0"/>
                                <a:ext cx="1682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4150" cy="175260"/>
                      <wp:effectExtent l="0" t="0" r="0" b="0"/>
                      <wp:wrapNone/>
                      <wp:docPr id="28" name="Frame2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02260" cy="175260"/>
                      <wp:effectExtent l="0" t="0" r="0" b="0"/>
                      <wp:wrapNone/>
                      <wp:docPr id="29" name="Frame2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96850" cy="175260"/>
                      <wp:effectExtent l="0" t="0" r="0" b="0"/>
                      <wp:wrapNone/>
                      <wp:docPr id="31" name="Frame3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820" cy="175260"/>
                      <wp:effectExtent l="0" t="0" r="0" b="0"/>
                      <wp:wrapNone/>
                      <wp:docPr id="32" name="Frame3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7640" cy="175260"/>
                      <wp:effectExtent l="0" t="0" r="0" b="0"/>
                      <wp:wrapNone/>
                      <wp:docPr id="34" name="Frame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7845" cy="175260"/>
                      <wp:effectExtent l="0" t="0" r="0" b="0"/>
                      <wp:wrapNone/>
                      <wp:docPr id="35" name="Frame34"/>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8"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1450" cy="175260"/>
                      <wp:effectExtent l="0" t="0" r="0" b="0"/>
                      <wp:wrapNone/>
                      <wp:docPr id="40" name="Frame3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00710" cy="175260"/>
                      <wp:effectExtent l="0" t="0" r="0" b="0"/>
                      <wp:wrapNone/>
                      <wp:docPr id="41" name="Frame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4515" cy="175260"/>
                      <wp:effectExtent l="0" t="0" r="0" b="0"/>
                      <wp:wrapNone/>
                      <wp:docPr id="44" name="Frame4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1"/>
              <w:ind w:left="0" w:right="0" w:hanging="0"/>
              <w:jc w:val="center"/>
              <w:rPr/>
            </w:pPr>
            <w:r>
              <w:rPr/>
              <w:t>​</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Common Stock - </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center"/>
              <w:rPr/>
            </w:pPr>
            <w:r>
              <w:rPr/>
              <w:t>​</w:t>
            </w:r>
          </w:p>
        </w:tc>
        <w:tc>
          <w:tcPr>
            <w:tcW w:w="1100" w:type="dxa"/>
            <w:gridSpan w:val="2"/>
            <w:tcBorders/>
            <w:vAlign w:val="center"/>
          </w:tcPr>
          <w:p>
            <w:pPr>
              <w:pStyle w:val="TableContents"/>
              <w:bidi w:val="0"/>
              <w:spacing w:before="0" w:after="1"/>
              <w:ind w:left="0" w:right="0" w:hanging="0"/>
              <w:jc w:val="center"/>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center"/>
              <w:rPr/>
            </w:pPr>
            <w:r>
              <w:rPr/>
              <w:t>​</w:t>
            </w:r>
          </w:p>
        </w:tc>
        <w:tc>
          <w:tcPr>
            <w:tcW w:w="12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ESOP</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101,555</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87,932</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109" w:type="dxa"/>
            <w:tcBorders/>
            <w:vAlign w:val="center"/>
          </w:tcPr>
          <w:p>
            <w:pPr>
              <w:pStyle w:val="TableContents"/>
              <w:bidi w:val="0"/>
              <w:spacing w:before="0" w:after="1"/>
              <w:ind w:left="0" w:right="0" w:hanging="0"/>
              <w:jc w:val="righ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101,673</w:t>
            </w:r>
          </w:p>
        </w:tc>
        <w:tc>
          <w:tcPr>
            <w:tcW w:w="109" w:type="dxa"/>
            <w:tcBorders/>
            <w:vAlign w:val="center"/>
          </w:tcPr>
          <w:p>
            <w:pPr>
              <w:pStyle w:val="TableContents"/>
              <w:bidi w:val="0"/>
              <w:spacing w:before="0" w:after="1"/>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88,893</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101,268</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161,083</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ESOP shares committed to be released </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101,364</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161,143</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  ​</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  ​</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1"/>
              <w:ind w:left="0" w:right="0" w:hanging="0"/>
              <w:jc w:val="center"/>
              <w:rPr/>
            </w:pPr>
            <w:r>
              <w:rPr/>
              <w:t>​</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Common Stock - </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center"/>
              <w:rPr/>
            </w:pPr>
            <w:r>
              <w:rPr/>
              <w:t>​</w:t>
            </w:r>
          </w:p>
        </w:tc>
        <w:tc>
          <w:tcPr>
            <w:tcW w:w="1100" w:type="dxa"/>
            <w:gridSpan w:val="2"/>
            <w:tcBorders/>
            <w:vAlign w:val="center"/>
          </w:tcPr>
          <w:p>
            <w:pPr>
              <w:pStyle w:val="TableContents"/>
              <w:bidi w:val="0"/>
              <w:spacing w:before="0" w:after="1"/>
              <w:ind w:left="0" w:right="0" w:hanging="0"/>
              <w:jc w:val="center"/>
              <w:rPr/>
            </w:pPr>
            <w:r>
              <w:rPr/>
              <w:t>​</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center"/>
              <w:rPr/>
            </w:pPr>
            <w:r>
              <w:rPr/>
              <w:t>​</w:t>
            </w:r>
          </w:p>
        </w:tc>
        <w:tc>
          <w:tcPr>
            <w:tcW w:w="12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ESOP</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101,720</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85,829</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109" w:type="dxa"/>
            <w:tcBorders/>
            <w:vAlign w:val="center"/>
          </w:tcPr>
          <w:p>
            <w:pPr>
              <w:pStyle w:val="TableContents"/>
              <w:bidi w:val="0"/>
              <w:spacing w:before="0" w:after="1"/>
              <w:ind w:left="0" w:right="0" w:hanging="0"/>
              <w:jc w:val="righ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101,673</w:t>
            </w:r>
          </w:p>
        </w:tc>
        <w:tc>
          <w:tcPr>
            <w:tcW w:w="109" w:type="dxa"/>
            <w:tcBorders/>
            <w:vAlign w:val="center"/>
          </w:tcPr>
          <w:p>
            <w:pPr>
              <w:pStyle w:val="TableContents"/>
              <w:bidi w:val="0"/>
              <w:spacing w:before="0" w:after="1"/>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88,893</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6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2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101,386</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161,366</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1"/>
              <w:ind w:left="0" w:right="0" w:hanging="0"/>
              <w:jc w:val="righ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ESOP shares committed to be released </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6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righ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6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109" w:type="dxa"/>
            <w:tcBorders/>
            <w:shd w:fill="CCEEFF" w:val="clear"/>
            <w:vAlign w:val="center"/>
          </w:tcPr>
          <w:p>
            <w:pPr>
              <w:pStyle w:val="TableContents"/>
              <w:bidi w:val="0"/>
              <w:spacing w:before="0" w:after="1"/>
              <w:ind w:left="0" w:right="0" w:hanging="0"/>
              <w:jc w:val="righ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1"/>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101,364</w:t>
            </w:r>
          </w:p>
        </w:tc>
        <w:tc>
          <w:tcPr>
            <w:tcW w:w="109" w:type="dxa"/>
            <w:tcBorders/>
            <w:shd w:fill="CCEEFF" w:val="clear"/>
            <w:vAlign w:val="center"/>
          </w:tcPr>
          <w:p>
            <w:pPr>
              <w:pStyle w:val="TableContents"/>
              <w:bidi w:val="0"/>
              <w:spacing w:before="0" w:after="1"/>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161,143</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0" w:name="_cf1adc40_c46c_4235_8cfe_aa79408d5302"/>
      <w:bookmarkEnd w:id="510"/>
      <w:r>
        <w:rPr>
          <w:rFonts w:ascii="Times New Roman;Times;serif" w:hAnsi="Times New Roman;Times;serif"/>
          <w:b/>
          <w:sz w:val="20"/>
        </w:rPr>
        <w:t>HOYNE BANCORP, INC. AND SUBSIDIARY</w:t>
      </w:r>
    </w:p>
    <w:p>
      <w:pPr>
        <w:pStyle w:val="TextBody"/>
        <w:bidi w:val="0"/>
        <w:spacing w:before="0" w:after="240"/>
        <w:ind w:left="0" w:right="0" w:hanging="0"/>
        <w:jc w:val="center"/>
        <w:rPr>
          <w:rFonts w:ascii="Times New Roman;Times;serif" w:hAnsi="Times New Roman;Times;serif"/>
          <w:b/>
          <w:sz w:val="20"/>
        </w:rPr>
      </w:pPr>
      <w:bookmarkStart w:id="511" w:name="CONSOLIDATEDSTATEMENTOFCASHFLOWS_89391"/>
      <w:bookmarkEnd w:id="511"/>
      <w:r>
        <w:rPr>
          <w:rFonts w:ascii="Times New Roman;Times;serif" w:hAnsi="Times New Roman;Times;serif"/>
          <w:b/>
          <w:sz w:val="20"/>
        </w:rPr>
        <w:t>CONSOLIDATED STATEMENT OF CASH FLOWS –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2" w:name="Tc_-Jh8VcsOjkOwmoFu1SM3Bg_40_3"/>
      <w:bookmarkStart w:id="513" w:name="Tc_cYOWOOW1NU66zlZC7oVxPQ_40_0"/>
      <w:bookmarkStart w:id="514" w:name="Tc_VuwGHAnfFEOlP8iOQ0sG0g_39_6"/>
      <w:bookmarkStart w:id="515" w:name="Tc_ZrZzoqYiR0GgrzfqDJ32aQ_39_3"/>
      <w:bookmarkStart w:id="516" w:name="Tc_P8wwMB7wAkqj2XzLMNMUFg_39_0"/>
      <w:bookmarkStart w:id="517" w:name="Tc_JWksGkXTP0CF37VQytX44g_38_5"/>
      <w:bookmarkStart w:id="518" w:name="Tc_O5RGf1KpbkaXM0C3ENTjdw_38_2"/>
      <w:bookmarkStart w:id="519" w:name="Tc_C2ZFPjlF_ki-7BFkAg_cLg_38_0"/>
      <w:bookmarkStart w:id="520" w:name="Tc_MHJ0KjO4Qk6oFYmGTI6Aew_37_0"/>
      <w:bookmarkStart w:id="521" w:name="Tc_4gvJ55KK8E-N_oIux2CvsQ_36_5"/>
      <w:bookmarkStart w:id="522" w:name="Tc_Iq8xWaWlhE66YFtnIPmr-w_36_2"/>
      <w:bookmarkStart w:id="523" w:name="Tc_i7owDkSNUEy6FrbxKkGlvA_36_0"/>
      <w:bookmarkStart w:id="524" w:name="Tc_zC87Re9i-UW2kvl3r4XeCw_35_0"/>
      <w:bookmarkStart w:id="525" w:name="Tc_hA5BYHQ4c0S0MbpnxR4U9Q_34_0"/>
      <w:bookmarkStart w:id="526" w:name="Tc_UkGQOl7MHkOmR_GhKxwPQw_33_0"/>
      <w:bookmarkStart w:id="527" w:name="Tc_4BaezRiV3EC-mP84S2Qd9Q_32_0"/>
      <w:bookmarkStart w:id="528" w:name="Tc_RiKmYsF0kkevmphwl1Wplw_31_0"/>
      <w:bookmarkStart w:id="529" w:name="Tc_E6h8oiBzVkiTpftqqZ_kDQ_30_0"/>
      <w:bookmarkStart w:id="530" w:name="Tc_Fh96Blg7_UKxCX6fkhXDng_29_0"/>
      <w:bookmarkStart w:id="531" w:name="Tc_bNH5zRhX50-_ReNOT5QvDA_28_0"/>
      <w:bookmarkStart w:id="532" w:name="Tc_RnTcNEjN7kGCFVbGwB2jCA_27_0"/>
      <w:bookmarkStart w:id="533" w:name="Tc_mQg9JVg8Lky3N9hcomL9vQ_26_3"/>
      <w:bookmarkStart w:id="534" w:name="Tc_l0HZcnDDIkCfzR4RbHLWuA_26_0"/>
      <w:bookmarkStart w:id="535" w:name="Tc_XA1zuwIDn0SbgmvnTrzpFQ_25_0"/>
      <w:bookmarkStart w:id="536" w:name="Tc_a0lCoIEuVU-BKVvzmf9b5g_24_0"/>
      <w:bookmarkStart w:id="537" w:name="Tc_qEuOvKpgakGXYoX-44rL1w_23_0"/>
      <w:bookmarkStart w:id="538" w:name="Tc_iTbYdSQfXUifzmU5UvqgNg_22_0"/>
      <w:bookmarkStart w:id="539" w:name="Tc_QrjzS-TwsUqErI_xqrv55Q_21_0"/>
      <w:bookmarkStart w:id="540" w:name="Tc_JGEK2C_-vEuIi1UU3H-LYA_20_0"/>
      <w:bookmarkStart w:id="541" w:name="Tc_6tDpA0jI4UqUf1SeqiEM4A_19_0"/>
      <w:bookmarkStart w:id="542" w:name="Tc_d3xPuJqsMkKWdeP-GBLdMg_18_0"/>
      <w:bookmarkStart w:id="543" w:name="Tc_hUyPKRwRIUSJXiS9JXrpFA_17_0"/>
      <w:bookmarkStart w:id="544" w:name="Tc_EIOLIoU_VECZtcfT41LB4w_16_0"/>
      <w:bookmarkStart w:id="545" w:name="Tc_WYxiXtdSH0OpDjZ3U-o4MQ_15_0"/>
      <w:bookmarkStart w:id="546" w:name="Tc_czulL2492k2j2cHsccTqMg_14_0"/>
      <w:bookmarkStart w:id="547" w:name="Tc_GgM_2irll0WUBVDjGz9AkQ_13_6"/>
      <w:bookmarkStart w:id="548" w:name="Tc_7BVDn-HscUeorwNBLtTAuQ_13_0"/>
      <w:bookmarkStart w:id="549" w:name="Tc_yCwB4iM3LU2A_MzliLgHOg_12_0"/>
      <w:bookmarkStart w:id="550" w:name="Tc_kNnvAcewsUyncTtOemoq8w_11_0"/>
      <w:bookmarkStart w:id="551" w:name="Tc_qnTO4pmGMU6TYvzdZxKASA_10_0"/>
      <w:bookmarkStart w:id="552" w:name="Tc_TaTm4X0ovE6EUAkeB33ASA_9_0"/>
      <w:bookmarkStart w:id="553" w:name="Tc_u-hik5LzCEWWTyEchhj11w_8_0"/>
      <w:bookmarkStart w:id="554" w:name="Tc_HKWb54ppgkikT2a-Pbm7ZQ_7_0"/>
      <w:bookmarkStart w:id="555" w:name="Tc_IOCkIMU5w0ez9ZqHLbp3fg_6_0"/>
      <w:bookmarkStart w:id="556" w:name="Tc_JGPw_TGQgEuI46hEP_9cSw_5_5"/>
      <w:bookmarkStart w:id="557" w:name="Tc_s30jBDNgvU2AC213Q0e3_Q_5_2"/>
      <w:bookmarkStart w:id="558" w:name="Tc_KxWcJmK8R0ijZXZ0-7Gcqw_5_0"/>
      <w:bookmarkStart w:id="559" w:name="Tc_5H797fbttUakjIA4lRei3A_4_0"/>
      <w:bookmarkStart w:id="560" w:name="Tc_0xjdVP3Zw0up4QdekGt5Qw_3_2"/>
      <w:bookmarkStart w:id="561" w:name="Tc_IY8PcE8zBk-N3oePYFIeRQ_2_5"/>
      <w:bookmarkStart w:id="562" w:name="Tc_70y9fSVIh0umgzdxoDyVQA_2_2"/>
      <w:bookmarkStart w:id="563" w:name="Tc_ChRZRYYmHkenPz6OMK4hVA_1_2"/>
      <w:bookmarkStart w:id="564" w:name="_91f422dd_9ca5_450d_9d40_d142e30f0848"/>
      <w:bookmarkStart w:id="565" w:name="Tc_-Jh8VcsOjkOwmoFu1SM3Bg_40_3"/>
      <w:bookmarkStart w:id="566" w:name="Tc_cYOWOOW1NU66zlZC7oVxPQ_40_0"/>
      <w:bookmarkStart w:id="567" w:name="Tc_VuwGHAnfFEOlP8iOQ0sG0g_39_6"/>
      <w:bookmarkStart w:id="568" w:name="Tc_ZrZzoqYiR0GgrzfqDJ32aQ_39_3"/>
      <w:bookmarkStart w:id="569" w:name="Tc_P8wwMB7wAkqj2XzLMNMUFg_39_0"/>
      <w:bookmarkStart w:id="570" w:name="Tc_JWksGkXTP0CF37VQytX44g_38_5"/>
      <w:bookmarkStart w:id="571" w:name="Tc_O5RGf1KpbkaXM0C3ENTjdw_38_2"/>
      <w:bookmarkStart w:id="572" w:name="Tc_C2ZFPjlF_ki-7BFkAg_cLg_38_0"/>
      <w:bookmarkStart w:id="573" w:name="Tc_MHJ0KjO4Qk6oFYmGTI6Aew_37_0"/>
      <w:bookmarkStart w:id="574" w:name="Tc_4gvJ55KK8E-N_oIux2CvsQ_36_5"/>
      <w:bookmarkStart w:id="575" w:name="Tc_Iq8xWaWlhE66YFtnIPmr-w_36_2"/>
      <w:bookmarkStart w:id="576" w:name="Tc_i7owDkSNUEy6FrbxKkGlvA_36_0"/>
      <w:bookmarkStart w:id="577" w:name="Tc_zC87Re9i-UW2kvl3r4XeCw_35_0"/>
      <w:bookmarkStart w:id="578" w:name="Tc_hA5BYHQ4c0S0MbpnxR4U9Q_34_0"/>
      <w:bookmarkStart w:id="579" w:name="Tc_UkGQOl7MHkOmR_GhKxwPQw_33_0"/>
      <w:bookmarkStart w:id="580" w:name="Tc_4BaezRiV3EC-mP84S2Qd9Q_32_0"/>
      <w:bookmarkStart w:id="581" w:name="Tc_RiKmYsF0kkevmphwl1Wplw_31_0"/>
      <w:bookmarkStart w:id="582" w:name="Tc_E6h8oiBzVkiTpftqqZ_kDQ_30_0"/>
      <w:bookmarkStart w:id="583" w:name="Tc_Fh96Blg7_UKxCX6fkhXDng_29_0"/>
      <w:bookmarkStart w:id="584" w:name="Tc_bNH5zRhX50-_ReNOT5QvDA_28_0"/>
      <w:bookmarkStart w:id="585" w:name="Tc_RnTcNEjN7kGCFVbGwB2jCA_27_0"/>
      <w:bookmarkStart w:id="586" w:name="Tc_mQg9JVg8Lky3N9hcomL9vQ_26_3"/>
      <w:bookmarkStart w:id="587" w:name="Tc_l0HZcnDDIkCfzR4RbHLWuA_26_0"/>
      <w:bookmarkStart w:id="588" w:name="Tc_XA1zuwIDn0SbgmvnTrzpFQ_25_0"/>
      <w:bookmarkStart w:id="589" w:name="Tc_a0lCoIEuVU-BKVvzmf9b5g_24_0"/>
      <w:bookmarkStart w:id="590" w:name="Tc_qEuOvKpgakGXYoX-44rL1w_23_0"/>
      <w:bookmarkStart w:id="591" w:name="Tc_iTbYdSQfXUifzmU5UvqgNg_22_0"/>
      <w:bookmarkStart w:id="592" w:name="Tc_QrjzS-TwsUqErI_xqrv55Q_21_0"/>
      <w:bookmarkStart w:id="593" w:name="Tc_JGEK2C_-vEuIi1UU3H-LYA_20_0"/>
      <w:bookmarkStart w:id="594" w:name="Tc_6tDpA0jI4UqUf1SeqiEM4A_19_0"/>
      <w:bookmarkStart w:id="595" w:name="Tc_d3xPuJqsMkKWdeP-GBLdMg_18_0"/>
      <w:bookmarkStart w:id="596" w:name="Tc_hUyPKRwRIUSJXiS9JXrpFA_17_0"/>
      <w:bookmarkStart w:id="597" w:name="Tc_EIOLIoU_VECZtcfT41LB4w_16_0"/>
      <w:bookmarkStart w:id="598" w:name="Tc_WYxiXtdSH0OpDjZ3U-o4MQ_15_0"/>
      <w:bookmarkStart w:id="599" w:name="Tc_czulL2492k2j2cHsccTqMg_14_0"/>
      <w:bookmarkStart w:id="600" w:name="Tc_GgM_2irll0WUBVDjGz9AkQ_13_6"/>
      <w:bookmarkStart w:id="601" w:name="Tc_7BVDn-HscUeorwNBLtTAuQ_13_0"/>
      <w:bookmarkStart w:id="602" w:name="Tc_yCwB4iM3LU2A_MzliLgHOg_12_0"/>
      <w:bookmarkStart w:id="603" w:name="Tc_kNnvAcewsUyncTtOemoq8w_11_0"/>
      <w:bookmarkStart w:id="604" w:name="Tc_qnTO4pmGMU6TYvzdZxKASA_10_0"/>
      <w:bookmarkStart w:id="605" w:name="Tc_TaTm4X0ovE6EUAkeB33ASA_9_0"/>
      <w:bookmarkStart w:id="606" w:name="Tc_u-hik5LzCEWWTyEchhj11w_8_0"/>
      <w:bookmarkStart w:id="607" w:name="Tc_HKWb54ppgkikT2a-Pbm7ZQ_7_0"/>
      <w:bookmarkStart w:id="608" w:name="Tc_IOCkIMU5w0ez9ZqHLbp3fg_6_0"/>
      <w:bookmarkStart w:id="609" w:name="Tc_JGPw_TGQgEuI46hEP_9cSw_5_5"/>
      <w:bookmarkStart w:id="610" w:name="Tc_s30jBDNgvU2AC213Q0e3_Q_5_2"/>
      <w:bookmarkStart w:id="611" w:name="Tc_KxWcJmK8R0ijZXZ0-7Gcqw_5_0"/>
      <w:bookmarkStart w:id="612" w:name="Tc_5H797fbttUakjIA4lRei3A_4_0"/>
      <w:bookmarkStart w:id="613" w:name="Tc_0xjdVP3Zw0up4QdekGt5Qw_3_2"/>
      <w:bookmarkStart w:id="614" w:name="Tc_IY8PcE8zBk-N3oePYFIeRQ_2_5"/>
      <w:bookmarkStart w:id="615" w:name="Tc_70y9fSVIh0umgzdxoDyVQA_2_2"/>
      <w:bookmarkStart w:id="616" w:name="Tc_ChRZRYYmHkenPz6OMK4hVA_1_2"/>
      <w:bookmarkStart w:id="617" w:name="_91f422dd_9ca5_450d_9d40_d142e30f0848"/>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tbl>
      <w:tblPr>
        <w:tblW w:w="9630" w:type="dxa"/>
        <w:jc w:val="left"/>
        <w:tblInd w:w="0" w:type="dxa"/>
        <w:tblLayout w:type="fixed"/>
        <w:tblCellMar>
          <w:top w:w="0" w:type="dxa"/>
          <w:left w:w="0" w:type="dxa"/>
          <w:bottom w:w="0" w:type="dxa"/>
          <w:right w:w="0" w:type="dxa"/>
        </w:tblCellMar>
      </w:tblPr>
      <w:tblGrid>
        <w:gridCol w:w="6586"/>
        <w:gridCol w:w="346"/>
        <w:gridCol w:w="247"/>
        <w:gridCol w:w="934"/>
        <w:gridCol w:w="406"/>
        <w:gridCol w:w="247"/>
        <w:gridCol w:w="864"/>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182110" cy="175260"/>
                      <wp:effectExtent l="0" t="0" r="0" b="0"/>
                      <wp:wrapNone/>
                      <wp:docPr id="45" name="Frame44"/>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6845" cy="175260"/>
                      <wp:effectExtent l="0" t="0" r="0" b="0"/>
                      <wp:wrapNone/>
                      <wp:docPr id="47" name="Frame4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3090" cy="175260"/>
                      <wp:effectExtent l="0" t="0" r="0" b="0"/>
                      <wp:wrapNone/>
                      <wp:docPr id="48" name="Frame47"/>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57810" cy="175260"/>
                      <wp:effectExtent l="0" t="0" r="0" b="0"/>
                      <wp:wrapNone/>
                      <wp:docPr id="49" name="Frame4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6845" cy="175260"/>
                      <wp:effectExtent l="0" t="0" r="0" b="0"/>
                      <wp:wrapNone/>
                      <wp:docPr id="50" name="Frame4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48640" cy="175260"/>
                      <wp:effectExtent l="0" t="0" r="0" b="0"/>
                      <wp:wrapNone/>
                      <wp:docPr id="51" name="Frame5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c>
          <w:tcPr>
            <w:tcW w:w="406" w:type="dxa"/>
            <w:tcBorders/>
            <w:vAlign w:val="center"/>
          </w:tcPr>
          <w:p>
            <w:pPr>
              <w:pStyle w:val="TableContents"/>
              <w:bidi w:val="0"/>
              <w:spacing w:before="0" w:after="0"/>
              <w:ind w:left="0" w:right="0" w:hanging="0"/>
              <w:jc w:val="center"/>
              <w:rPr>
                <w:color w:val="231F20"/>
              </w:rPr>
            </w:pPr>
            <w:r>
              <w:rPr>
                <w:color w:val="231F20"/>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963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698" w:type="dxa"/>
            <w:gridSpan w:val="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flows from operating activities:</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934"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40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864" w:type="dxa"/>
            <w:tcBorders/>
            <w:shd w:fill="CCEEFF" w:val="clear"/>
            <w:vAlign w:val="center"/>
          </w:tcPr>
          <w:p>
            <w:pPr>
              <w:pStyle w:val="TableContents"/>
              <w:bidi w:val="0"/>
              <w:spacing w:before="0" w:after="0"/>
              <w:ind w:left="0" w:right="0" w:hanging="0"/>
              <w:jc w:val="center"/>
              <w:rPr>
                <w:color w:val="231F20"/>
              </w:rPr>
            </w:pPr>
            <w:r>
              <w:rPr>
                <w:color w:val="231F20"/>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 (loss)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Adjustments to reconcile net income (loss) to net cash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Depreciation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315</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267</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(Accretion) amortization of premiums and discounts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Provision for credit losses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270</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Amortization of core deposit intangible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Accretion of Loan credit and yield adjustment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Increase in cash surrender value of BOLI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(407)</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ESOP compensation expense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196</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color w:val="231F20"/>
              </w:rPr>
            </w:pPr>
            <w:r>
              <w:rPr>
                <w:color w:val="231F20"/>
              </w:rPr>
              <w:t>—</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other assets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(1,133)</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(479)</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accrued interest receivable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(234)</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Deferred income tax benefit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(114)</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2,034</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accounts payable and accrued expenses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(213)</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814</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provided (used) by operating activities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(1,292)</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2,731</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investing activities: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color w:val="231F20"/>
              </w:rPr>
            </w:pPr>
            <w:r>
              <w:rPr>
                <w:color w:val="231F20"/>
              </w:rPr>
              <w:t>  ​</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color w:val="231F20"/>
              </w:rPr>
            </w:pPr>
            <w:r>
              <w:rPr>
                <w:color w:val="231F20"/>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BOLI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(5,000)</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2,701</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maturities of certificates of deposit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870</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certificates of deposit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(870)</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Proceeds from repayment of available-for-sale securities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5,424</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7,006</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Repayment of held-to-maturity securities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2,448</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2,893</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Change in loans receivable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(14,585)</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(7,558)</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Disposal of fixed assets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934"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635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Purchase of premises and equipment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(232)</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(394)</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provided (used) by investing activities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(11,945)</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5,763</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financing activities: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color w:val="231F20"/>
              </w:rPr>
            </w:pPr>
            <w:r>
              <w:rPr>
                <w:color w:val="231F20"/>
              </w:rPr>
              <w:t>  ​</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color w:val="231F20"/>
              </w:rPr>
            </w:pPr>
            <w:r>
              <w:rPr>
                <w:color w:val="231F20"/>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deposit accounts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(8,989)</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advances from borrowers for taxes and insurance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cash flows provided (used) by financing activities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(8,982)</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Net change in cash and cash equivalents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(22,219)</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8,512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Cash and cash equivalents: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4"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64"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Beginning of the period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47,595</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15,327</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End of the period</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25,376</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23,839</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Cash paid during the period for Interest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1,800</w:t>
            </w:r>
          </w:p>
        </w:tc>
        <w:tc>
          <w:tcPr>
            <w:tcW w:w="40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3,423</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Taxes paid during the period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934" w:type="dxa"/>
            <w:tcBorders/>
            <w:vAlign w:val="center"/>
          </w:tcPr>
          <w:p>
            <w:pPr>
              <w:pStyle w:val="TableContents"/>
              <w:bidi w:val="0"/>
              <w:spacing w:before="0" w:after="0"/>
              <w:ind w:left="0" w:right="0" w:hanging="0"/>
              <w:jc w:val="right"/>
              <w:rPr>
                <w:color w:val="231F20"/>
              </w:rPr>
            </w:pPr>
            <w:r>
              <w:rPr>
                <w:color w:val="231F20"/>
              </w:rPr>
              <w:t>—</w:t>
            </w:r>
          </w:p>
        </w:tc>
        <w:tc>
          <w:tcPr>
            <w:tcW w:w="406" w:type="dxa"/>
            <w:tcBorders/>
            <w:vAlign w:val="center"/>
          </w:tcPr>
          <w:p>
            <w:pPr>
              <w:pStyle w:val="TableContents"/>
              <w:bidi w:val="0"/>
              <w:spacing w:before="0" w:after="0"/>
              <w:ind w:left="0" w:right="0" w:hanging="0"/>
              <w:jc w:val="left"/>
              <w:rPr>
                <w:color w:val="231F20"/>
              </w:rPr>
            </w:pPr>
            <w:r>
              <w:rPr>
                <w:color w:val="231F20"/>
              </w:rPr>
              <w:t>​</w:t>
            </w:r>
          </w:p>
        </w:tc>
        <w:tc>
          <w:tcPr>
            <w:tcW w:w="247" w:type="dxa"/>
            <w:tcBorders/>
            <w:vAlign w:val="center"/>
          </w:tcPr>
          <w:p>
            <w:pPr>
              <w:pStyle w:val="TableContents"/>
              <w:bidi w:val="0"/>
              <w:spacing w:before="0" w:after="0"/>
              <w:ind w:left="0" w:right="0" w:hanging="0"/>
              <w:jc w:val="left"/>
              <w:rPr>
                <w:color w:val="231F20"/>
              </w:rPr>
            </w:pPr>
            <w:r>
              <w:rPr>
                <w:color w:val="231F20"/>
              </w:rPr>
              <w:t> </w:t>
            </w:r>
          </w:p>
        </w:tc>
        <w:tc>
          <w:tcPr>
            <w:tcW w:w="864" w:type="dxa"/>
            <w:tcBorders/>
            <w:vAlign w:val="center"/>
          </w:tcPr>
          <w:p>
            <w:pPr>
              <w:pStyle w:val="TableContents"/>
              <w:bidi w:val="0"/>
              <w:spacing w:before="0" w:after="0"/>
              <w:ind w:left="0" w:right="0" w:hanging="0"/>
              <w:jc w:val="right"/>
              <w:rPr>
                <w:color w:val="231F20"/>
              </w:rPr>
            </w:pPr>
            <w:r>
              <w:rPr>
                <w:color w:val="231F20"/>
              </w:rPr>
              <w:t>—</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Premises and Equipment transferred to ORE </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729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8" w:name="_df251218_cfb4_4124_b447_6f5b50e965e2"/>
      <w:bookmarkEnd w:id="618"/>
      <w:r>
        <w:rPr>
          <w:rFonts w:ascii="Times New Roman;Times;serif" w:hAnsi="Times New Roman;Times;serif"/>
          <w:b/>
          <w:sz w:val="20"/>
        </w:rPr>
        <w:t>HOYNE BANCORP, INC. AND SUBSIDIARY</w:t>
      </w:r>
    </w:p>
    <w:p>
      <w:pPr>
        <w:pStyle w:val="TextBody"/>
        <w:bidi w:val="0"/>
        <w:spacing w:before="0" w:after="120"/>
        <w:ind w:left="0" w:right="0" w:hanging="0"/>
        <w:jc w:val="center"/>
        <w:rPr>
          <w:rFonts w:ascii="Times New Roman;Times;serif" w:hAnsi="Times New Roman;Times;serif"/>
          <w:b/>
          <w:sz w:val="20"/>
        </w:rPr>
      </w:pPr>
      <w:bookmarkStart w:id="619" w:name="NOTESTOTHECONSOLIDATEDFINANCIAL_203669"/>
      <w:bookmarkEnd w:id="619"/>
      <w:r>
        <w:rPr>
          <w:rFonts w:ascii="Times New Roman;Times;serif" w:hAnsi="Times New Roman;Times;serif"/>
          <w:b/>
          <w:sz w:val="20"/>
        </w:rPr>
        <w:t>NOTES TO THE CONSOLIDATED FINANCIAL STATEMENTS – (UNAUDITED)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Bancorp, Inc, a Delaware corporation (the "Company") was formed to serve as the stock holding company for Hoyne Savings Bank ("Bank") as part of the mutual-to-stock conversion. Upon completion of the conversion, which occurred on December 3, 2025, Hoyne Bancorp, Inc. became 100% owner of Hoyne Savings Bank. 100% of the common stock of Hoyne Bancorp, Inc. is held by the public, Hoyne Charitable Foundation, and Employee Stock Ownership Program. The cost of the reorganization and the issuing of common stock totaling approximately $3.7 million were deferred and deducted from the sales proceeds of the offering. In connection with the mutual-to-stock conversion completed on December 3, 2025, Hoyne Savings, MHC and Hoyne Financial Corporation merged into Hoyne Bancorp, Inc. The merger eliminated $567,362 of negative shareholders' equity. As a holding company of an Illinois-chartered stock savings bank, Hoyne Bancorp, Inc. is regulated by the Board of Governors of the Federal Reserve System ("Federal Reserve Board"). In connection with the conversion, it also issued 161,938 shares of common stock and donated $250,000 in cash to Hoyne Charitable Foundation, Inc.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unaudited consolidated financial statements and other financial information contained in this Quarterly Report on Form 10-Q should be read in conjunction with the Company’s audited consolidated financial statements and related notes at and for the years ended December 31, 2025 and 2024 contained in the Company’s Annual Report on Form 10-K for the year ended December 31, 2025, as filed with the Securities Exchange Commission on March 26, 2026.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Nature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Savings Bank is an Illinois stock institution. The Bank operates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segment and its principal business consists of originating commercial real estate loans (including commercial construction), commercial and industrial loans, one to four residential loans, and to a lesser extent, home equity loans and lines of credit and other consumer loans in the market areas surrounding its branch footprint. The Bank also established a loan production office in Oak Park, Illinois in 2023 and attracts retail deposits from the general public as well as deposits from commercial customers in the areas surrounding the main office and branches, offering a wide variety of deposit products and services. The Bank also invests in securities. Its revenues are derived primarily from interest on loans and investment securities. Its primary sources of funds are deposits and principal and interest payments on loans and investment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conformity with accounting principals generally accepted in the United States of America (“U.S. GAAP”) and conform to practices within the banking industry. The accounting policies followed in the preparation of the interim consolidated financial statements are consistent with those used in the preparation of the annual financial statements. The interim consolidated financial statements reflect all normal and recurring adjustments that are necessary, in the opinion of management, for fair statement of results for the interim periods presented. Results for the three and six months ended June 30, 2026 are not necessarily indicative of the results that may be expected for the year ending December 31, 2026. Reference is made to the accounting policies of the Company described in the notes to the Audited Consolidated Financial Statements contained in the Company’s Annual Report on Form 10-K for the fiscal year ended December 31, 2025. The Company has consistently followed these policies in preparing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Principles of Consolidation —</w:t>
      </w:r>
      <w:r>
        <w:rPr>
          <w:rFonts w:ascii="Times New Roman;Times;serif" w:hAnsi="Times New Roman;Times;serif"/>
          <w:sz w:val="20"/>
        </w:rPr>
        <w:t xml:space="preserve"> The consolidated financial statements for the three and six months ended June 30, 2026 include the accounts and results of operations of Hoyne Bancorp, Inc. and Hoyne Savings Bank. The comparable periods in 2025 contain the results of Hoyne Savings, MHC, Hoyne Financial Corporation, and Hoyne Savings Bank and Prospect Services Incorporated. Significant intercompany accounts and transactions have been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Use of Estimates —</w:t>
      </w:r>
      <w:r>
        <w:rPr>
          <w:rFonts w:ascii="Times New Roman;Times;serif" w:hAnsi="Times New Roman;Times;serif"/>
          <w:sz w:val="20"/>
        </w:rPr>
        <w:t xml:space="preserve"> The preparation of financial statements in accordance with U.S. GAAP requires management to make estimates and assumptions that affect the reported amounts of assets, liabilities and activities at the date of the financial statements, and during the reporting period. Actual results could differ from those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Significant estimates used in the preparation of these financial statements and disclosures include the allowance for credit losses, realizability of net deferred income tax assets and the fair values of financial instruments. For these estimates, it is reasonably possible that the recorded amounts or related disclosures could significantly change in the near future as more information is available.</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b/>
          <w:sz w:val="20"/>
        </w:rPr>
        <w:t>Future Accounting Pronouncements —</w:t>
      </w:r>
      <w:r>
        <w:rPr>
          <w:rFonts w:ascii="Times New Roman;Times;serif" w:hAnsi="Times New Roman;Times;serif"/>
          <w:sz w:val="20"/>
        </w:rPr>
        <w:t xml:space="preserve"> In December 2023, the FASB issued ASU 2023-09, Income Taxes (Topic 740): Improvements to Income Tax Disclosures.  The amendments in this ASU improve the transparency of income tax disclosures by requiring consistent categories and greater disaggregation of information in the rate reconciliation table, as well as income taxes paid disaggregated by jurisdiction.  These expanded disclosures allow investors to better assess how an entity’s overall operations, including the related tax risks, tax planning, and operational opportunities, affect its income tax rate and prospects for future cash flows.  The updated guidance is effective for annual periods beginning after December 15, 2025, and management believes these disclosures will not have a material impact on the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20" w:name="Tc_3T3fKKyKPkWrwX-bDfdKgw_13_11"/>
      <w:bookmarkStart w:id="621" w:name="Tc_aqmIGX9d20me6pDN6I381g_13_8"/>
      <w:bookmarkStart w:id="622" w:name="Tc_3U-8qMTkDEaOyqbzbDJ6qg_13_5"/>
      <w:bookmarkStart w:id="623" w:name="Tc_OVOoW5bYLUiH8bxr_z31tw_13_2"/>
      <w:bookmarkStart w:id="624" w:name="Tc_mWW4w0ccHU-R3ja5zYc28Q_13_0"/>
      <w:bookmarkStart w:id="625" w:name="Tc_u2QAfZpGzU2E-QrTJDTF-g_12_6"/>
      <w:bookmarkStart w:id="626" w:name="Tc_5gfZjWKSmkiXvm1Ddgs3_Q_12_0"/>
      <w:bookmarkStart w:id="627" w:name="Tc_1P2OdCr3WkWVDiMo8Cqz5g_11_0"/>
      <w:bookmarkStart w:id="628" w:name="Tc_SVqb52rtZ0WFwU0P97Ximg_10_11"/>
      <w:bookmarkStart w:id="629" w:name="Tc_5_UP3u5SEEuunsY87NQBUQ_10_8"/>
      <w:bookmarkStart w:id="630" w:name="Tc_alpqUDdCRkKFgsX-ofuELw_10_6"/>
      <w:bookmarkStart w:id="631" w:name="Tc_9Vz_t23voUGyqmPTRGPn0Q_10_5"/>
      <w:bookmarkStart w:id="632" w:name="Tc_gTxl6MAxhUeCQ8CbsLOU2w_10_2"/>
      <w:bookmarkStart w:id="633" w:name="Tc_H8o_ONvGG0OdRqUo2qpyMQ_10_0"/>
      <w:bookmarkStart w:id="634" w:name="Tc_GvXt7MPCtUWfIvuICEDMYg_9_0"/>
      <w:bookmarkStart w:id="635" w:name="Tc_Gf4pWL3XIUCzKg28SHiCPw_8_11"/>
      <w:bookmarkStart w:id="636" w:name="Tc_q4RvkXxUkE68z6kUDYmO5A_8_8"/>
      <w:bookmarkStart w:id="637" w:name="Tc_GgrzED8kbkCBuIzfdoQMzw_8_5"/>
      <w:bookmarkStart w:id="638" w:name="Tc_DFOQe9aN-U-VlySMEJz2qg_8_2"/>
      <w:bookmarkStart w:id="639" w:name="Tc_k7M4CjBHXUOQaB73GyUDEg_8_0"/>
      <w:bookmarkStart w:id="640" w:name="Tc_mNLIWUtf8UiCGxIG2FXukQ_7_6"/>
      <w:bookmarkStart w:id="641" w:name="Tc_khuvJOkxDEG0XIEYihtmXA_7_0"/>
      <w:bookmarkStart w:id="642" w:name="Tc_aM3o00Bz_0Sl7VGmkGRJXQ_6_0"/>
      <w:bookmarkStart w:id="643" w:name="Tc_e0iThwSm1ESllsMB9P6Asw_5_11"/>
      <w:bookmarkStart w:id="644" w:name="Tc_WwO5aJ3To0iezqaqMnzXfA_5_8"/>
      <w:bookmarkStart w:id="645" w:name="Tc_2PJkVWjMlkqulXGGGI5sMg_5_6"/>
      <w:bookmarkStart w:id="646" w:name="Tc_VzDo2H5sOkuaaBS2HIqdIA_5_5"/>
      <w:bookmarkStart w:id="647" w:name="Tc_KeOez4v40k6f84uCMcKbEQ_5_2"/>
      <w:bookmarkStart w:id="648" w:name="Tc_hI0id4J9Z0W6tMtM42kvcw_5_0"/>
      <w:bookmarkStart w:id="649" w:name="Tc_tPIoCFtkc0m06z9yToZppg_4_0"/>
      <w:bookmarkStart w:id="650" w:name="Tc_1cy6z5NS4EKcZ-V9ApuEiw_3_11"/>
      <w:bookmarkStart w:id="651" w:name="Tc_BrUJqeWnOEmpAsShpXFzlQ_3_8"/>
      <w:bookmarkStart w:id="652" w:name="Tc_N0VQPr3Cv0y417dgqm048g_3_5"/>
      <w:bookmarkStart w:id="653" w:name="Tc_JxZ4yvAlM0GOdraHOFMrRQ_3_2"/>
      <w:bookmarkStart w:id="654" w:name="Tc_IxJK5i4210aWcy64CWuueg_2_11"/>
      <w:bookmarkStart w:id="655" w:name="Tc_NPSEtWWeyEqlKRcK-PL3VA_2_5"/>
      <w:bookmarkStart w:id="656" w:name="Tc_Dnv-DgqQ2E-TRe94BJP_ww_2_2"/>
      <w:bookmarkStart w:id="657" w:name="Tc_HIM1xHrY5EqDwVxPPAXGAQ_1_2"/>
      <w:bookmarkStart w:id="658" w:name="_10e20961_90a6_4d31_b52c_1f4df093e6a7"/>
      <w:bookmarkStart w:id="659" w:name="Tc_5A64i1ZDS06eDEFkYkiu3Q_13_11"/>
      <w:bookmarkStart w:id="660" w:name="Tc_1kv1zwzH40O2a8LuiUb-kQ_13_8"/>
      <w:bookmarkStart w:id="661" w:name="Tc_1Tv4K736BkWBI6RPr8Ujsw_13_5"/>
      <w:bookmarkStart w:id="662" w:name="Tc_Jb4EmN622UikCEzqL1sJVQ_13_2"/>
      <w:bookmarkStart w:id="663" w:name="Tc_iczaD3YfDU-RNhUFRoH2ug_13_0"/>
      <w:bookmarkStart w:id="664" w:name="Tc_rQuPDUwQeUaJO6XTzhb2Tw_12_6"/>
      <w:bookmarkStart w:id="665" w:name="Tc_HHiR3BivikGLK8bBNGRXRA_12_0"/>
      <w:bookmarkStart w:id="666" w:name="Tc_eohAwjwvzkm5v35GrGuTOQ_11_0"/>
      <w:bookmarkStart w:id="667" w:name="Tc_XoZ2FpDu60CKv271y5SMxw_10_11"/>
      <w:bookmarkStart w:id="668" w:name="Tc_x6UNHa2KbkyEkFEZeQZgzQ_10_8"/>
      <w:bookmarkStart w:id="669" w:name="Tc_PvfSz1e1d0uOTD_dku5qZw_10_6"/>
      <w:bookmarkStart w:id="670" w:name="Tc_-dOC9uPb40i5fRm-Au4kTQ_10_5"/>
      <w:bookmarkStart w:id="671" w:name="Tc_YUXcP8dEEkWWXV_VGREq0Q_10_2"/>
      <w:bookmarkStart w:id="672" w:name="Tc_B1I9mlawfUmyo3b5wycqBw_10_0"/>
      <w:bookmarkStart w:id="673" w:name="Tc_36Z5xm8mUE6XusKmyfUNEA_9_0"/>
      <w:bookmarkStart w:id="674" w:name="Tc_eJAKX06qdUKHg02yWYWLyg_8_11"/>
      <w:bookmarkStart w:id="675" w:name="Tc_tWLj-r_7ZUephrSh9cYwlQ_8_8"/>
      <w:bookmarkStart w:id="676" w:name="Tc_4u9oS0Bm-EWq5T8A3sT5SQ_8_5"/>
      <w:bookmarkStart w:id="677" w:name="Tc_8EbPewCi00iBfSKIn04fgQ_8_2"/>
      <w:bookmarkStart w:id="678" w:name="Tc_n7SkCC51g0WSMp-EotreWg_8_0"/>
      <w:bookmarkStart w:id="679" w:name="Tc_-bhmWB7diUaPDuvlaVdmnw_7_6"/>
      <w:bookmarkStart w:id="680" w:name="Tc_1EzMDjV0D0SCRcb75T-5lA_7_0"/>
      <w:bookmarkStart w:id="681" w:name="Tc_V_ip21GvUU2NQqF-VcqWKw_6_0"/>
      <w:bookmarkStart w:id="682" w:name="Tc_u_nZZ9FgukCkH5kxudS2lw_5_11"/>
      <w:bookmarkStart w:id="683" w:name="Tc_AzHjpHXrykuzqlsR5R_88Q_5_8"/>
      <w:bookmarkStart w:id="684" w:name="Tc_0m9LkhIooky8VU-bBxnCUg_5_6"/>
      <w:bookmarkStart w:id="685" w:name="Tc_KYbvNln7U0aYv1ruEppyew_5_5"/>
      <w:bookmarkStart w:id="686" w:name="Tc_zjEa8LQWhkiBzM7lOT-tRg_5_2"/>
      <w:bookmarkStart w:id="687" w:name="Tc_kR31gw7S7keOwxANUriQqQ_5_0"/>
      <w:bookmarkStart w:id="688" w:name="Tc_sih502wRL0uT06mCgBnQqA_4_0"/>
      <w:bookmarkStart w:id="689" w:name="Tc_2efWnjYIP0SDmStNxtOpeQ_3_11"/>
      <w:bookmarkStart w:id="690" w:name="Tc_oN4J-9GX2U6mGy8wGnU1Fg_3_8"/>
      <w:bookmarkStart w:id="691" w:name="Tc_7IwRoq_NOUSSs7bT9mc28A_3_5"/>
      <w:bookmarkStart w:id="692" w:name="Tc_PMy_H2T7BEaTQnp5oHwnTg_3_2"/>
      <w:bookmarkStart w:id="693" w:name="Tc_GlY8_I5-i0-ty-HIdyAO7g_2_11"/>
      <w:bookmarkStart w:id="694" w:name="Tc_0YKA0iXq70WldoGD_20sKA_2_5"/>
      <w:bookmarkStart w:id="695" w:name="Tc_YNg7Afhr_k21d7Nmzi0MKg_2_2"/>
      <w:bookmarkStart w:id="696" w:name="Tc_N5BtoalrMUeC66x3GEPrLQ_1_2"/>
      <w:bookmarkStart w:id="697" w:name="_2645be4e_9b83_4bb0_82ba_fc43be93f3b7"/>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securities available-for-sale and held-to-maturity, with gross unrealized gains and losses, are as follows (in thousands):</w:t>
      </w:r>
    </w:p>
    <w:tbl>
      <w:tblPr>
        <w:tblW w:w="7798" w:type="dxa"/>
        <w:jc w:val="left"/>
        <w:tblInd w:w="0" w:type="dxa"/>
        <w:tblLayout w:type="fixed"/>
        <w:tblCellMar>
          <w:top w:w="0" w:type="dxa"/>
          <w:left w:w="0" w:type="dxa"/>
          <w:bottom w:w="0" w:type="dxa"/>
          <w:right w:w="0" w:type="dxa"/>
        </w:tblCellMar>
      </w:tblPr>
      <w:tblGrid>
        <w:gridCol w:w="2821"/>
        <w:gridCol w:w="346"/>
        <w:gridCol w:w="211"/>
        <w:gridCol w:w="781"/>
        <w:gridCol w:w="346"/>
        <w:gridCol w:w="211"/>
        <w:gridCol w:w="346"/>
        <w:gridCol w:w="346"/>
        <w:gridCol w:w="211"/>
        <w:gridCol w:w="796"/>
        <w:gridCol w:w="346"/>
        <w:gridCol w:w="211"/>
        <w:gridCol w:w="82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791335" cy="175260"/>
                      <wp:effectExtent l="0" t="0" r="0" b="0"/>
                      <wp:wrapNone/>
                      <wp:docPr id="52" name="Frame5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5460" cy="175260"/>
                      <wp:effectExtent l="0" t="0" r="0" b="0"/>
                      <wp:wrapNone/>
                      <wp:docPr id="61" name="Frame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4510" cy="175260"/>
                      <wp:effectExtent l="0" t="0" r="0" b="0"/>
                      <wp:wrapNone/>
                      <wp:docPr id="64" name="Frame6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  ​ ​ ​</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61,906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100,856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21,657</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Held-to-maturity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23,449</w:t>
            </w:r>
          </w:p>
        </w:tc>
      </w:tr>
    </w:tbl>
    <w:p>
      <w:pPr>
        <w:pStyle w:val="TextBody"/>
        <w:bidi w:val="0"/>
        <w:spacing w:before="0" w:after="0"/>
        <w:ind w:left="0" w:right="0" w:hanging="0"/>
        <w:jc w:val="left"/>
        <w:rPr/>
      </w:pPr>
      <w:r>
        <w:rPr/>
        <w:t>​</w:t>
      </w:r>
    </w:p>
    <w:tbl>
      <w:tblPr>
        <w:tblW w:w="7843" w:type="dxa"/>
        <w:jc w:val="left"/>
        <w:tblInd w:w="0" w:type="dxa"/>
        <w:tblLayout w:type="fixed"/>
        <w:tblCellMar>
          <w:top w:w="0" w:type="dxa"/>
          <w:left w:w="0" w:type="dxa"/>
          <w:bottom w:w="0" w:type="dxa"/>
          <w:right w:w="0" w:type="dxa"/>
        </w:tblCellMar>
      </w:tblPr>
      <w:tblGrid>
        <w:gridCol w:w="2866"/>
        <w:gridCol w:w="346"/>
        <w:gridCol w:w="211"/>
        <w:gridCol w:w="781"/>
        <w:gridCol w:w="346"/>
        <w:gridCol w:w="211"/>
        <w:gridCol w:w="346"/>
        <w:gridCol w:w="346"/>
        <w:gridCol w:w="211"/>
        <w:gridCol w:w="796"/>
        <w:gridCol w:w="346"/>
        <w:gridCol w:w="211"/>
        <w:gridCol w:w="82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19910" cy="175260"/>
                      <wp:effectExtent l="0" t="0" r="0" b="0"/>
                      <wp:wrapNone/>
                      <wp:docPr id="65" name="Frame6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74" name="Frame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24510" cy="175260"/>
                      <wp:effectExtent l="0" t="0" r="0" b="0"/>
                      <wp:wrapNone/>
                      <wp:docPr id="77" name="Frame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46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Amortized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Gross Unrealized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Estimated</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Cost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Gains</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Losses</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Fair 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securities: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45,481</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(6,982)</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38,499</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75,692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(8,285)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67,465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706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690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available-for-sale securities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121,879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(15,283)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106,654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Held-to-maturity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1,980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1,580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26,140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(1,926)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24,241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219</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Held-to-maturity securities </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28,368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(2,355)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26,040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8" w:name="Tc_ClNSrPdNP061lgoXTF70Fg_10_11"/>
      <w:bookmarkStart w:id="699" w:name="Tc_3DfaPs1i-02nwAaGHM5xQg_10_8"/>
      <w:bookmarkStart w:id="700" w:name="Tc_eDCyQSx5206lYSKur52CLQ_10_5"/>
      <w:bookmarkStart w:id="701" w:name="Tc_XVBdBxlJwkSGNb79HCu4Kw_10_2"/>
      <w:bookmarkStart w:id="702" w:name="Tc_3w7OXptUO0mxwgPGUyqzHA_10_0"/>
      <w:bookmarkStart w:id="703" w:name="Tc_5x8FRYlP1kGA6J3Nm9DjpA_9_0"/>
      <w:bookmarkStart w:id="704" w:name="Tc_tblLuRWV70K3vs7Ws7WQIw_8_0"/>
      <w:bookmarkStart w:id="705" w:name="Tc_LrIooaH2BkmkD6955evqTA_7_11"/>
      <w:bookmarkStart w:id="706" w:name="Tc_P8-kcMvOVEGxk4gSPa5-Ag_7_8"/>
      <w:bookmarkStart w:id="707" w:name="Tc_jlCtC7Jlq0a0-pwY75fWSg_7_6"/>
      <w:bookmarkStart w:id="708" w:name="Tc_r-ENgjm-7Eu9MvaLCTEUyQ_7_5"/>
      <w:bookmarkStart w:id="709" w:name="Tc_ZN2m7f3pyUm--wcNXLTmVA_7_3"/>
      <w:bookmarkStart w:id="710" w:name="Tc_hHlLKWfJNk2RRadDRqf5BA_7_2"/>
      <w:bookmarkStart w:id="711" w:name="Tc_oMqx7NHYfUyL7bxPNLTJeg_7_0"/>
      <w:bookmarkStart w:id="712" w:name="Tc_NCAMgEdEYUCS05XK1xkB2w_6_0"/>
      <w:bookmarkStart w:id="713" w:name="Tc_bJhqggymDUCg50jKW8je_g_5_11"/>
      <w:bookmarkStart w:id="714" w:name="Tc_U4raHBN7QEa1V0ve8FIdtg_5_8"/>
      <w:bookmarkStart w:id="715" w:name="Tc_YMhh64BvYke851oHpXA4zQ_5_5"/>
      <w:bookmarkStart w:id="716" w:name="Tc_iCWtPIev4kyKmqzC6C_BLA_5_2"/>
      <w:bookmarkStart w:id="717" w:name="Tc_T8vdLCq4c0SUZyVB0JyO7g_4_8"/>
      <w:bookmarkStart w:id="718" w:name="Tc_wjmMHTHSTUy2YsqdM0tchQ_4_2"/>
      <w:bookmarkStart w:id="719" w:name="Tc_-DdRoiFUqEyxeC_sWTVzrA_3_8"/>
      <w:bookmarkStart w:id="720" w:name="Tc_2jsMry7CsUGFkwkJXrvGCg_3_2"/>
      <w:bookmarkStart w:id="721" w:name="Tc_QbKF-adU_UqS4tTdiNd_ww_2_8"/>
      <w:bookmarkStart w:id="722" w:name="Tc_wlWJRLHEoUW_FUsaL2tAjg_2_2"/>
      <w:bookmarkStart w:id="723" w:name="Tc_5hBFz_SasEOUeKKYoLZVvw_1_2"/>
      <w:bookmarkStart w:id="724" w:name="_57898f2d_17a2_4705_9b98_ffb81d1db0e3"/>
      <w:bookmarkStart w:id="725" w:name="Tc_R-eD3HaVwEaSRbUL7xuHcg_10_11"/>
      <w:bookmarkStart w:id="726" w:name="Tc_0JDMmEeJ3kOUXfYvkUFlpg_10_8"/>
      <w:bookmarkStart w:id="727" w:name="Tc_Gx3A32YgTkyaq8F5XzQwCg_10_5"/>
      <w:bookmarkStart w:id="728" w:name="Tc_VoRhBWj__UCWOw09YsCBhA_10_2"/>
      <w:bookmarkStart w:id="729" w:name="Tc_t2WAKwYK-kW13ShBGJ8OKA_10_0"/>
      <w:bookmarkStart w:id="730" w:name="Tc_Z71Heuq9lU6mdDbUGGnLyg_9_0"/>
      <w:bookmarkStart w:id="731" w:name="Tc_AOrQ-LwKeE-DBzuN8rzMIA_8_0"/>
      <w:bookmarkStart w:id="732" w:name="Tc_lNNNpBirAUGtwvHh2sre_w_7_11"/>
      <w:bookmarkStart w:id="733" w:name="Tc_NqeEPFKAq0W0NSSffIZc-Q_7_8"/>
      <w:bookmarkStart w:id="734" w:name="Tc_gpXgvwjCXk2OYQIxy2AzlA_7_6"/>
      <w:bookmarkStart w:id="735" w:name="Tc_fBQlweDq-0G1MxEwdkFLHA_7_5"/>
      <w:bookmarkStart w:id="736" w:name="Tc_Pk5H_q89PU-xZbMQVYZqCg_7_3"/>
      <w:bookmarkStart w:id="737" w:name="Tc_tE5iKSTDOkK058NRAJOAQw_7_2"/>
      <w:bookmarkStart w:id="738" w:name="Tc_Dg51CG8XzE6JA0pnol6y3A_7_0"/>
      <w:bookmarkStart w:id="739" w:name="Tc_g6NgVa4bUUC96aX-6_7Mug_6_0"/>
      <w:bookmarkStart w:id="740" w:name="Tc_shSzfAMwtUujzS7gia07WQ_5_11"/>
      <w:bookmarkStart w:id="741" w:name="Tc_s9ksGbdWi0GM-MaPD9XQzw_5_8"/>
      <w:bookmarkStart w:id="742" w:name="Tc_Zqq2x3acD02pEtjMBujOZg_5_5"/>
      <w:bookmarkStart w:id="743" w:name="Tc_fk_21Zo-qEiIGWzjmFQkFA_5_2"/>
      <w:bookmarkStart w:id="744" w:name="Tc__hSwtob3LEuNXj4uXlIbwA_4_8"/>
      <w:bookmarkStart w:id="745" w:name="Tc_49h6t8LJT0mfAeuaqg-nug_4_2"/>
      <w:bookmarkStart w:id="746" w:name="Tc_ARjh9_xUMEiQ2gX6GyXANw_3_8"/>
      <w:bookmarkStart w:id="747" w:name="Tc_vkVDs50j6UuATdsGEre_cg_3_2"/>
      <w:bookmarkStart w:id="748" w:name="Tc_npTrSv5BTUasT187O3X_2g_2_8"/>
      <w:bookmarkStart w:id="749" w:name="Tc_yrz0GrE36kmO-CEDtQFFGw_2_2"/>
      <w:bookmarkStart w:id="750" w:name="Tc_6BegU4QLsEameTf1jzx3eQ_1_2"/>
      <w:bookmarkStart w:id="751" w:name="_54e3b46c_fa12_467f_b254_d074da8267d9"/>
      <w:bookmarkStart w:id="752" w:name="Tc_aKZjQVu1TEqCHARttk0PXg_11_11"/>
      <w:bookmarkStart w:id="753" w:name="Tc_MrtrAuG_SUCP2uHbbvEgXg_11_8"/>
      <w:bookmarkStart w:id="754" w:name="Tc_B_WcLc6wxUaMIq29p0OE2A_11_5"/>
      <w:bookmarkStart w:id="755" w:name="Tc_XMzyEoCILEaTWZGZbRTqWw_11_2"/>
      <w:bookmarkStart w:id="756" w:name="Tc_Ntd6eeebXUOCRuaZ3l_rAA_11_0"/>
      <w:bookmarkStart w:id="757" w:name="Tc_OIbIG28J3UyahY44efcTmg_10_0"/>
      <w:bookmarkStart w:id="758" w:name="Tc_AbO4_lVvU0GDizRcqApC1w_9_0"/>
      <w:bookmarkStart w:id="759" w:name="Tc_GduuKJZihE2v4sT_pjLbWg_8_12"/>
      <w:bookmarkStart w:id="760" w:name="Tc_qwSyzNb4hkyYGUIGrbI4Gg_8_9"/>
      <w:bookmarkStart w:id="761" w:name="Tc__r48Jkwfm0OqdywTQkpu4A_8_6"/>
      <w:bookmarkStart w:id="762" w:name="Tc_O08Hacj3W0GXsXU836fYtg_8_3"/>
      <w:bookmarkStart w:id="763" w:name="Tc_BACJVmc9Nku_cRqs8nbWMA_8_0"/>
      <w:bookmarkStart w:id="764" w:name="Tc_yBim_eZuNUSnnHe93JxuTQ_7_0"/>
      <w:bookmarkStart w:id="765" w:name="Tc_jNGCT9FWhkaabBm5LEdMcQ_6_12"/>
      <w:bookmarkStart w:id="766" w:name="Tc_9JqsLLnFFEW--zSTjKe8qg_6_9"/>
      <w:bookmarkStart w:id="767" w:name="Tc_p9bfzP4RhE-oc0acZg8idg_6_0"/>
      <w:bookmarkStart w:id="768" w:name="Tc_sj2JWFYUckq4Lo7n5xoRRQ_5_12"/>
      <w:bookmarkStart w:id="769" w:name="Tc_HPHRDTJjeUawhxFpJsAuRg_5_11"/>
      <w:bookmarkStart w:id="770" w:name="Tc_NjtQiU165EuywXjwqfTbow_5_9"/>
      <w:bookmarkStart w:id="771" w:name="Tc_JK5mbez0bUGSwpS-2z9NTg_5_8"/>
      <w:bookmarkStart w:id="772" w:name="Tc_jD-HTG2hQku86wpn4TmTbQ_5_6"/>
      <w:bookmarkStart w:id="773" w:name="Tc_sD6bZS8pbk-jz8GdUGo6Sg_5_5"/>
      <w:bookmarkStart w:id="774" w:name="Tc_EIK5Nl_kkEqULCzKN9u7ug_5_3"/>
      <w:bookmarkStart w:id="775" w:name="Tc_jWMTtE5psUSigjpGKRRV_w_5_2"/>
      <w:bookmarkStart w:id="776" w:name="Tc_gjxFmzmafU-QhCGKKEls_A_5_0"/>
      <w:bookmarkStart w:id="777" w:name="Tc_SeVLsSLR0kGc_24klBzPrg_4_11"/>
      <w:bookmarkStart w:id="778" w:name="Tc_Uphpr2va8EqoRxpgqg6LZg_4_8"/>
      <w:bookmarkStart w:id="779" w:name="Tc_kflf4fFgMkq0JqEo135hHg_4_5"/>
      <w:bookmarkStart w:id="780" w:name="Tc_gqWltNMLtESOmZb41iyCLw_4_2"/>
      <w:bookmarkStart w:id="781" w:name="Tc_mSKvvwj3LUKFQqCv9Agq8Q_3_8"/>
      <w:bookmarkStart w:id="782" w:name="Tc_GNIEtWJqe024HKoRT-QZ5w_3_2"/>
      <w:bookmarkStart w:id="783" w:name="Tc_h5dKJtX-T0yj_on3LPX0dw_2_8"/>
      <w:bookmarkStart w:id="784" w:name="Tc_tmxZOl_y5keV97nl0vMO2w_2_2"/>
      <w:bookmarkStart w:id="785" w:name="Tc_fcIGRhCTuUScMLI7_hQpHw_1_2"/>
      <w:bookmarkStart w:id="786" w:name="_56bbad8b_1ce8_4bd1_9f51_39d3c08a2085"/>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investment securities by contractual maturity are as follows (in thousands):</w:t>
      </w:r>
    </w:p>
    <w:tbl>
      <w:tblPr>
        <w:tblW w:w="7648" w:type="dxa"/>
        <w:jc w:val="left"/>
        <w:tblInd w:w="0" w:type="dxa"/>
        <w:tblLayout w:type="fixed"/>
        <w:tblCellMar>
          <w:top w:w="0" w:type="dxa"/>
          <w:left w:w="0" w:type="dxa"/>
          <w:bottom w:w="0" w:type="dxa"/>
          <w:right w:w="0" w:type="dxa"/>
        </w:tblCellMar>
      </w:tblPr>
      <w:tblGrid>
        <w:gridCol w:w="2401"/>
        <w:gridCol w:w="346"/>
        <w:gridCol w:w="211"/>
        <w:gridCol w:w="781"/>
        <w:gridCol w:w="346"/>
        <w:gridCol w:w="211"/>
        <w:gridCol w:w="781"/>
        <w:gridCol w:w="346"/>
        <w:gridCol w:w="211"/>
        <w:gridCol w:w="676"/>
        <w:gridCol w:w="346"/>
        <w:gridCol w:w="211"/>
        <w:gridCol w:w="78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24635" cy="175260"/>
                      <wp:effectExtent l="0" t="0" r="0" b="0"/>
                      <wp:wrapNone/>
                      <wp:docPr id="78" name="Frame7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1"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Held-to-Maturity</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year or 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to 5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5 years to 10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1,792</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10 years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46,193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38,950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2,229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1,792</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70,442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61,906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23,686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21,657</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116,635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100,856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25,915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23,449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sales of investment securities available-for-sale during the three and six months ended June 30, 2026 or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pertaining to available-for-sale debt securities with gross unrealized losses at June 30, 2026 and December 31, 2025 aggregated by investment category and length of time that individual securities have been in a continuous loss position follows (in thousands):</w:t>
      </w:r>
    </w:p>
    <w:tbl>
      <w:tblPr>
        <w:tblW w:w="6756" w:type="dxa"/>
        <w:jc w:val="left"/>
        <w:tblInd w:w="0" w:type="dxa"/>
        <w:tblLayout w:type="fixed"/>
        <w:tblCellMar>
          <w:top w:w="0" w:type="dxa"/>
          <w:left w:w="0" w:type="dxa"/>
          <w:bottom w:w="0" w:type="dxa"/>
          <w:right w:w="0" w:type="dxa"/>
        </w:tblCellMar>
      </w:tblPr>
      <w:tblGrid>
        <w:gridCol w:w="1636"/>
        <w:gridCol w:w="346"/>
        <w:gridCol w:w="335"/>
        <w:gridCol w:w="551"/>
        <w:gridCol w:w="403"/>
        <w:gridCol w:w="246"/>
        <w:gridCol w:w="668"/>
        <w:gridCol w:w="346"/>
        <w:gridCol w:w="211"/>
        <w:gridCol w:w="676"/>
        <w:gridCol w:w="346"/>
        <w:gridCol w:w="211"/>
        <w:gridCol w:w="78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38860" cy="175260"/>
                      <wp:effectExtent l="0" t="0" r="0" b="0"/>
                      <wp:wrapNone/>
                      <wp:docPr id="91" name="Frame9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2725" cy="175260"/>
                      <wp:effectExtent l="0" t="0" r="0" b="0"/>
                      <wp:wrapNone/>
                      <wp:docPr id="93" name="Frame9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49885" cy="175260"/>
                      <wp:effectExtent l="0" t="0" r="0" b="0"/>
                      <wp:wrapNone/>
                      <wp:docPr id="94" name="Frame9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55905" cy="175260"/>
                      <wp:effectExtent l="0" t="0" r="0" b="0"/>
                      <wp:wrapNone/>
                      <wp:docPr id="95" name="Frame94"/>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6210" cy="175260"/>
                      <wp:effectExtent l="0" t="0" r="0" b="0"/>
                      <wp:wrapNone/>
                      <wp:docPr id="96" name="Frame9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4180" cy="175260"/>
                      <wp:effectExtent l="0" t="0" r="0" b="0"/>
                      <wp:wrapNone/>
                      <wp:docPr id="97" name="Frame96"/>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7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403" w:type="dxa"/>
            <w:tcBorders/>
            <w:vAlign w:val="center"/>
          </w:tcPr>
          <w:p>
            <w:pPr>
              <w:pStyle w:val="TableContents"/>
              <w:bidi w:val="0"/>
              <w:spacing w:before="0" w:after="1"/>
              <w:ind w:left="0" w:right="0" w:hanging="0"/>
              <w:jc w:val="center"/>
              <w:rPr/>
            </w:pPr>
            <w:r>
              <w:rPr/>
              <w:t>​</w:t>
            </w:r>
          </w:p>
        </w:tc>
        <w:tc>
          <w:tcPr>
            <w:tcW w:w="914"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403" w:type="dxa"/>
            <w:tcBorders/>
            <w:vAlign w:val="center"/>
          </w:tcPr>
          <w:p>
            <w:pPr>
              <w:pStyle w:val="TableContents"/>
              <w:bidi w:val="0"/>
              <w:spacing w:before="0" w:after="1"/>
              <w:ind w:left="0" w:right="0" w:hanging="0"/>
              <w:jc w:val="center"/>
              <w:rPr/>
            </w:pPr>
            <w:r>
              <w:rPr/>
              <w:t>​</w:t>
            </w:r>
          </w:p>
        </w:tc>
        <w:tc>
          <w:tcPr>
            <w:tcW w:w="914"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403" w:type="dxa"/>
            <w:tcBorders/>
            <w:vAlign w:val="center"/>
          </w:tcPr>
          <w:p>
            <w:pPr>
              <w:pStyle w:val="TableContents"/>
              <w:bidi w:val="0"/>
              <w:spacing w:before="0" w:after="1"/>
              <w:ind w:left="0" w:right="0" w:hanging="0"/>
              <w:jc w:val="left"/>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vAlign w:val="center"/>
          </w:tcPr>
          <w:p>
            <w:pPr>
              <w:pStyle w:val="TableContents"/>
              <w:bidi w:val="0"/>
              <w:spacing w:before="0" w:after="1"/>
              <w:ind w:left="0" w:right="0" w:hanging="0"/>
              <w:jc w:val="right"/>
              <w:rPr/>
            </w:pPr>
            <w:r>
              <w:rPr/>
              <w:t>—</w:t>
            </w:r>
          </w:p>
        </w:tc>
        <w:tc>
          <w:tcPr>
            <w:tcW w:w="403"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38,263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403"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58,748</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403"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w:t>
            </w:r>
          </w:p>
        </w:tc>
        <w:tc>
          <w:tcPr>
            <w:tcW w:w="403"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97,246</w:t>
            </w:r>
          </w:p>
        </w:tc>
      </w:tr>
    </w:tbl>
    <w:p>
      <w:pPr>
        <w:pStyle w:val="TextBody"/>
        <w:bidi w:val="0"/>
        <w:spacing w:before="0" w:after="240"/>
        <w:ind w:left="0" w:right="0" w:firstLine="360"/>
        <w:jc w:val="left"/>
        <w:rPr/>
      </w:pPr>
      <w:r>
        <w:rPr/>
        <w:t>​</w:t>
      </w:r>
    </w:p>
    <w:tbl>
      <w:tblPr>
        <w:tblW w:w="6873" w:type="dxa"/>
        <w:jc w:val="left"/>
        <w:tblInd w:w="0" w:type="dxa"/>
        <w:tblLayout w:type="fixed"/>
        <w:tblCellMar>
          <w:top w:w="0" w:type="dxa"/>
          <w:left w:w="0" w:type="dxa"/>
          <w:bottom w:w="0" w:type="dxa"/>
          <w:right w:w="0" w:type="dxa"/>
        </w:tblCellMar>
      </w:tblPr>
      <w:tblGrid>
        <w:gridCol w:w="1636"/>
        <w:gridCol w:w="346"/>
        <w:gridCol w:w="335"/>
        <w:gridCol w:w="551"/>
        <w:gridCol w:w="443"/>
        <w:gridCol w:w="295"/>
        <w:gridCol w:w="591"/>
        <w:gridCol w:w="346"/>
        <w:gridCol w:w="211"/>
        <w:gridCol w:w="676"/>
        <w:gridCol w:w="346"/>
        <w:gridCol w:w="211"/>
        <w:gridCol w:w="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38860" cy="175260"/>
                      <wp:effectExtent l="0" t="0" r="0" b="0"/>
                      <wp:wrapNone/>
                      <wp:docPr id="104" name="Frame10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2725" cy="175260"/>
                      <wp:effectExtent l="0" t="0" r="0" b="0"/>
                      <wp:wrapNone/>
                      <wp:docPr id="106" name="Frame10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49885" cy="175260"/>
                      <wp:effectExtent l="0" t="0" r="0" b="0"/>
                      <wp:wrapNone/>
                      <wp:docPr id="107" name="Frame10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81305" cy="175260"/>
                      <wp:effectExtent l="0" t="0" r="0" b="0"/>
                      <wp:wrapNone/>
                      <wp:docPr id="108" name="Frame107"/>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7325" cy="175260"/>
                      <wp:effectExtent l="0" t="0" r="0" b="0"/>
                      <wp:wrapNone/>
                      <wp:docPr id="109" name="Frame10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75285" cy="175260"/>
                      <wp:effectExtent l="0" t="0" r="0" b="0"/>
                      <wp:wrapNone/>
                      <wp:docPr id="110" name="Frame10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9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44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443"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443"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38,499</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443"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8,284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63,916</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443" w:type="dxa"/>
            <w:tcBorders/>
            <w:vAlign w:val="center"/>
          </w:tcPr>
          <w:p>
            <w:pPr>
              <w:pStyle w:val="TableContents"/>
              <w:bidi w:val="0"/>
              <w:spacing w:before="0" w:after="0"/>
              <w:ind w:left="0" w:right="0" w:hanging="0"/>
              <w:jc w:val="left"/>
              <w:rPr>
                <w:color w:val="231F20"/>
              </w:rPr>
            </w:pPr>
            <w:r>
              <w:rPr>
                <w:color w:val="231F20"/>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468</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43"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102,883</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June 30, 2026, 23 available-for-sale agencies securities are in an unrealized loss position with aggregate depreciation of 15.87% from the Bank’s amortized cost basis, 172 available-for-sale mortgage-backed securities are in an unrealized loss position with aggregate depreciation of 12.49 % from the amortized cost basis, and three available-for-sale municipal bond securities are in an unrealized loss position with aggregate depreciation of 3.29% from the amortized cost basis. These unrealized losses relate principally to the changes in interest rates and are not due to changes in the financial condition of the issuer, the quality of any underlying assets, or applicable credit enhancements. In reaching the conclusion that an allowance for credit losses is unnecessary, management observed that the securities were issued by a government body or agency, the securities continue to be highly rated (AA or better) where applicable, the issuer continues to make contractual payments, and the quality of any underlying assets or credit enhancements has not changed. Since management has the ability to hold debt securities for the foreseeable future, we expect to recover the amortized cost basis of these securities before they are sold or mature.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regularly evaluate various attributes of securities held to maturity to determine the appropriateness of the allowance for credit losses. The credit quality indicators monitored differ depending on the major security type.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evaluate the credit quality of securities issued by the U.S. government (e.g., U.S. Treasury bonds) and U.S. government-sponsored agencies (e.g., Federal National Mortgage Association and Federal Home Loan Mortgage Corporation mortgage-backed securities) by considering the creditworthiness and performance of the securities and the strength of guarantees. These securities are either explicitly or implicitly guaranteed by the U.S. government, are highly rated by major rating agencies, and have a long history of no credit losses. Based on this analysis, management believes we will collect all amounts owed on these securities and, accordingly, we have not recognized an allowance for credit losses on these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securities held to maturity are generally evaluated using credit ratings, which are a key indicator of a debt security’s probability of default. We use credit ratings issued by S&amp;P or Moody’s (or both). These ratings are updated monthly. We may also consider other relevant information that becomes known about the issuers or the security’s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accrued interest was written off during the three or six months ended June 30, 2026 and 2025. No securities held to maturity were past due or on nonaccrual as of June 30, 2026 and December 31, 2025. We exclude accrued interest receivable from the amortized cost basis of both securities held to maturity and available for sale when estimating credit losses and when presenting required disclosures in the financial statements. Accrued interest on securities held to maturity totaling approximately $64,000 and $69,000 and accrued interest on securities available for sale totaling approximately $271,000 and $312,000 at June 30, 2026 and December 31, 2025, respectively, was excluded from the amortized cost basis of securities held to maturity and available for sale.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87" w:name="Tc_aA-sBxyOVEWGOquC5Rw0eQ_17_5"/>
      <w:bookmarkStart w:id="788" w:name="Tc_GQ9gqFo8ekeXteemKPghhQ_17_2"/>
      <w:bookmarkStart w:id="789" w:name="Tc_dSxeVaB__EeewzQir7weig_16_0"/>
      <w:bookmarkStart w:id="790" w:name="Tc_lfx7Thgm306QouM-8xMA7w_15_0"/>
      <w:bookmarkStart w:id="791" w:name="Tc_Z_chjEppukC4JEyjoD8iTg_14_0"/>
      <w:bookmarkStart w:id="792" w:name="Tc_FGkYFFNN_U-w80uvxYxSUg_13_0"/>
      <w:bookmarkStart w:id="793" w:name="Tc_zolFopMumECephBzMjZkrw_12_0"/>
      <w:bookmarkStart w:id="794" w:name="Tc_tGXujNBG5Eqa46C1Shi3ng_11_0"/>
      <w:bookmarkStart w:id="795" w:name="Tc_i0YQ0gpGSka0MFIJe0BbHw_10_0"/>
      <w:bookmarkStart w:id="796" w:name="Tc_L3WddtuiV0GAwyLLpedB2g_9_0"/>
      <w:bookmarkStart w:id="797" w:name="Tc_JhBlgX8IYUm-xak7ZNme3w_8_0"/>
      <w:bookmarkStart w:id="798" w:name="Tc_Qqe3YbhBS06KbOF3I7uxqA_7_0"/>
      <w:bookmarkStart w:id="799" w:name="Tc_HD5cIdcK40enE51flvTr_Q_6_0"/>
      <w:bookmarkStart w:id="800" w:name="Tc_kmVnim26TUKAYIxv3xZphQ_5_0"/>
      <w:bookmarkStart w:id="801" w:name="Tc_nGQGHusLn0erHGMFVPuEAg_4_0"/>
      <w:bookmarkStart w:id="802" w:name="Tc_aYl9y8BQQEKkqPQsnpssQg_3_0"/>
      <w:bookmarkStart w:id="803" w:name="Tc_BgSGhOuDJE6sl8xC1AvUAA_2_5"/>
      <w:bookmarkStart w:id="804" w:name="Tc_5mF3owaUYkK2rogi2Sr6kA_2_2"/>
      <w:bookmarkStart w:id="805" w:name="Tc_J0Qd-AEl10S8_gWCefuOew_2_0"/>
      <w:bookmarkStart w:id="806" w:name="Tc_6_J0361T_kKNZCB0cA0x4w_1_5"/>
      <w:bookmarkStart w:id="807" w:name="Tc_x7shkUyhw0mUPOSn4MMz5g_1_2"/>
      <w:bookmarkStart w:id="808" w:name="_e0f2c088_8f2c_472a_aa45_95c7617757b2"/>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Pr>
          <w:rFonts w:ascii="Times New Roman;Times;serif" w:hAnsi="Times New Roman;Times;serif"/>
          <w:b/>
          <w:i w:val="false"/>
          <w:caps w:val="false"/>
          <w:smallCaps w:val="false"/>
          <w:sz w:val="20"/>
        </w:rPr>
        <w:t>5.</w:t>
      </w:r>
      <w:r>
        <w:rPr>
          <w:rFonts w:ascii="Times New Roman;Times;serif" w:hAnsi="Times New Roman;Times;serif"/>
          <w:b/>
          <w:sz w:val="20"/>
        </w:rPr>
        <w:t>Loans Receivable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Loans receivable consist of the following (in thousands):</w:t>
      </w:r>
    </w:p>
    <w:tbl>
      <w:tblPr>
        <w:tblW w:w="6188" w:type="dxa"/>
        <w:jc w:val="left"/>
        <w:tblInd w:w="0" w:type="dxa"/>
        <w:tblLayout w:type="fixed"/>
        <w:tblCellMar>
          <w:top w:w="0" w:type="dxa"/>
          <w:left w:w="0" w:type="dxa"/>
          <w:bottom w:w="0" w:type="dxa"/>
          <w:right w:w="0" w:type="dxa"/>
        </w:tblCellMar>
      </w:tblPr>
      <w:tblGrid>
        <w:gridCol w:w="3061"/>
        <w:gridCol w:w="109"/>
        <w:gridCol w:w="239"/>
        <w:gridCol w:w="887"/>
        <w:gridCol w:w="346"/>
        <w:gridCol w:w="297"/>
        <w:gridCol w:w="1249"/>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943735" cy="175260"/>
                      <wp:effectExtent l="0" t="0" r="0" b="0"/>
                      <wp:wrapNone/>
                      <wp:docPr id="117" name="Frame11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1765" cy="175260"/>
                      <wp:effectExtent l="0" t="0" r="0" b="0"/>
                      <wp:wrapNone/>
                      <wp:docPr id="119" name="Frame1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3245" cy="175260"/>
                      <wp:effectExtent l="0" t="0" r="0" b="0"/>
                      <wp:wrapNone/>
                      <wp:docPr id="120" name="Frame11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88595" cy="175260"/>
                      <wp:effectExtent l="0" t="0" r="0" b="0"/>
                      <wp:wrapNone/>
                      <wp:docPr id="122" name="Frame12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93115" cy="175260"/>
                      <wp:effectExtent l="0" t="0" r="0" b="0"/>
                      <wp:wrapNone/>
                      <wp:docPr id="123" name="Frame12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231F20"/>
              </w:rPr>
            </w:pPr>
            <w:r>
              <w:rPr>
                <w:color w:val="231F20"/>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One to four residential</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95,785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109,123</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5,489</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5,993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improvement, first mortgage</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421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equity line of credit (HELOC)</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6,511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5,431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construction</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49,556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46,124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and Industrial</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26,692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23,169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Real Estate</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89,727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76,338</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Line of Credit (LOC)</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17,971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9,706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292,152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276,341</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Add premiums on purchased loans</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Less:</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sold</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(5,853)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(4,386)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in process</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Allowance for credit losses</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vAlign w:val="center"/>
          </w:tcPr>
          <w:p>
            <w:pPr>
              <w:pStyle w:val="TableContents"/>
              <w:bidi w:val="0"/>
              <w:spacing w:before="0" w:after="0"/>
              <w:ind w:left="0" w:right="0" w:hanging="0"/>
              <w:jc w:val="left"/>
              <w:rPr>
                <w:color w:val="231F20"/>
              </w:rPr>
            </w:pPr>
            <w:r>
              <w:rPr>
                <w:color w:val="231F20"/>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(2,952)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(2,682)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Deferred income from loan fees</w:t>
            </w:r>
          </w:p>
        </w:tc>
        <w:tc>
          <w:tcPr>
            <w:tcW w:w="1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(1,055)</w:t>
            </w:r>
          </w:p>
        </w:tc>
      </w:tr>
      <w:tr>
        <w:trPr/>
        <w:tc>
          <w:tcPr>
            <w:tcW w:w="30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231F20"/>
              </w:rPr>
            </w:pPr>
            <w:r>
              <w:rPr>
                <w:color w:val="231F20"/>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282,289</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267,949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$5.0 million of loans sold related to the commercial real estate segment while $853,000 related to the one to four residential segment. As of December 31, 2025, $3.5 million of loans sold related to the commercial real estate segment while $886,000 related to the one to four residential segment. The loan balances used in the credit quality disclosures included in this footnote are presented gross, without reducing the balance for portions sold. All sold loans are current on payments, accruing and pass rated, and are disclosed as such within the one to four residential and commercial real estate segments in the respective subsequent table disclosures.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Accrued interest on loans totaling approximately $1.3 million and $1.0 million at June 30, 2026 and December 31, 2025 respectively, was excluded from the amortized cost basis of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9" w:name="Tc_pf3rSjGfdUeSfDocaVBD3A_28_0"/>
      <w:bookmarkStart w:id="810" w:name="Tc_l1DGF17ACEiZDroJz265FA_27_24"/>
      <w:bookmarkStart w:id="811" w:name="Tc_trlP89Cmi06nn3oZkCqM5A_27_21"/>
      <w:bookmarkStart w:id="812" w:name="Tc_GBct0l8knEGcRNl1Y3V4eQ_27_18"/>
      <w:bookmarkStart w:id="813" w:name="Tc_HAYcCX5TEkmeaaBjVc-Hvg_27_15"/>
      <w:bookmarkStart w:id="814" w:name="Tc_KJA_sDn-KEy2AYpjUtXUdg_27_12"/>
      <w:bookmarkStart w:id="815" w:name="Tc_j3R6D_kRrUy52yjSxedYBw_27_9"/>
      <w:bookmarkStart w:id="816" w:name="Tc_r5ZI20rrcE6RB2WBIJ5Mzw_27_6"/>
      <w:bookmarkStart w:id="817" w:name="Tc_hY2vusL5NEWolkuQmgksEw_27_0"/>
      <w:bookmarkStart w:id="818" w:name="Tc_SbJCfV9lxEuqZ0OQGejvjA_26_27"/>
      <w:bookmarkStart w:id="819" w:name="Tc_DaCg7bh1yEGuwBR319RI3w_26_24"/>
      <w:bookmarkStart w:id="820" w:name="Tc_RfNXulv9qEm2lzRX59q8aw_26_21"/>
      <w:bookmarkStart w:id="821" w:name="Tc_i9XVbDtbX0mF_dwrzYyT4Q_26_18"/>
      <w:bookmarkStart w:id="822" w:name="Tc_ETqYIcUSFk2J5pV5cAxWeg_26_15"/>
      <w:bookmarkStart w:id="823" w:name="Tc_GFF_C-qxOkuW09u1ecBMpw_26_12"/>
      <w:bookmarkStart w:id="824" w:name="Tc_BzVTGXW8nkSlDZaEe1mmKQ_26_9"/>
      <w:bookmarkStart w:id="825" w:name="Tc_51eF99crckyWwVLeMS_GQQ_26_6"/>
      <w:bookmarkStart w:id="826" w:name="Tc_A9WY0yNgXEeW0PL2MyCacg_26_3"/>
      <w:bookmarkStart w:id="827" w:name="Tc_9qhk4zm9f0eNyptpPsHErw_26_0"/>
      <w:bookmarkStart w:id="828" w:name="Tc_8QnHOArRaESFmf7JeOBeAw_25_9"/>
      <w:bookmarkStart w:id="829" w:name="Tc_I3ts7LQHXkmYmU_H0U5aZA_25_0"/>
      <w:bookmarkStart w:id="830" w:name="Tc_QfquC9dMXkSpKrUm7M-dSg_24_0"/>
      <w:bookmarkStart w:id="831" w:name="Tc_OyGhevAPokW30XM3_robHQ_23_0"/>
      <w:bookmarkStart w:id="832" w:name="Tc_vXCwYQlIh0ectst6Q0Ai5Q_22_27"/>
      <w:bookmarkStart w:id="833" w:name="Tc_9Hs6HWdYuU2DFn_HY_XkWg_22_24"/>
      <w:bookmarkStart w:id="834" w:name="Tc_o-YcXbtdQ0-2D4bs1WOC2Q_22_21"/>
      <w:bookmarkStart w:id="835" w:name="Tc_-I4L4QJaMkywVX6dvymupQ_22_18"/>
      <w:bookmarkStart w:id="836" w:name="Tc_-EEvceXcgEiR-VuxKQcXeg_22_15"/>
      <w:bookmarkStart w:id="837" w:name="Tc_yIkKSWo5H0mZPL70gOdF8w_22_12"/>
      <w:bookmarkStart w:id="838" w:name="Tc_F7L4cWEickS0KVvDoV0uTw_22_9"/>
      <w:bookmarkStart w:id="839" w:name="Tc_KxNdg003akS9XsK_rniHTw_22_6"/>
      <w:bookmarkStart w:id="840" w:name="Tc_UekSs7N2tkagH6ZfkNDHKw_22_3"/>
      <w:bookmarkStart w:id="841" w:name="Tc_IP1Qjv8ZHES6437noswq-w_22_0"/>
      <w:bookmarkStart w:id="842" w:name="Tc_W1HlH_OIjkamx7WeEvSFBA_21_27"/>
      <w:bookmarkStart w:id="843" w:name="Tc_EKHk35vyKkSRMOB444i5WQ_21_24"/>
      <w:bookmarkStart w:id="844" w:name="Tc_q1K04DWgqUSGZQ3p5KIvvg_21_21"/>
      <w:bookmarkStart w:id="845" w:name="Tc_req6qV5Xx0qmWVr63N4qOQ_21_18"/>
      <w:bookmarkStart w:id="846" w:name="Tc_3jmcvrntM0yqm1G6BzhyUA_21_15"/>
      <w:bookmarkStart w:id="847" w:name="Tc_8juCvKTut0y4YkDzFSug8w_21_12"/>
      <w:bookmarkStart w:id="848" w:name="Tc_vOXoJfhLKEKi6EDwM3Sguw_21_9"/>
      <w:bookmarkStart w:id="849" w:name="Tc_toUDqoFVbUaNTs2MAwF7EQ_21_6"/>
      <w:bookmarkStart w:id="850" w:name="Tc_k9PrLiaQC02Nl9pb9te8Og_21_3"/>
      <w:bookmarkStart w:id="851" w:name="Tc_bj6KyknaEE67Li9trI06yA_21_0"/>
      <w:bookmarkStart w:id="852" w:name="Tc_d4Kox7miI02ohIylut5ZIw_20_9"/>
      <w:bookmarkStart w:id="853" w:name="Tc_Ni4-fa22qkGV-OggnITCCA_20_0"/>
      <w:bookmarkStart w:id="854" w:name="Tc_qz-Kbn001k6V1sf4z-VAPg_19_26"/>
      <w:bookmarkStart w:id="855" w:name="Tc_7HLlYU5hz0qR7zf5MGpXwQ_19_23"/>
      <w:bookmarkStart w:id="856" w:name="Tc_LfFA5stBvkSy27QQFljcbw_19_20"/>
      <w:bookmarkStart w:id="857" w:name="Tc_sOJt_yNptEO3FnLE6_Ck8A_19_17"/>
      <w:bookmarkStart w:id="858" w:name="Tc_iimTfG6xCUO1ph_d5Nh4uQ_19_14"/>
      <w:bookmarkStart w:id="859" w:name="Tc_iMhxy334iki2uPy7ZkDGhg_19_11"/>
      <w:bookmarkStart w:id="860" w:name="Tc_101L0DuuDkejEEwC1KvDMg_19_8"/>
      <w:bookmarkStart w:id="861" w:name="Tc_-vqt-U05VkaHiZyr4g3pLg_19_5"/>
      <w:bookmarkStart w:id="862" w:name="Tc_M5mNUGa0sUa74IGOXysXQg_19_2"/>
      <w:bookmarkStart w:id="863" w:name="Tc_Mk5xLvW5d0a34zI3NEt2jw_19_0"/>
      <w:bookmarkStart w:id="864" w:name="Tc_OWiIF-ptcEG3SiuDS8cKvQ_18_0"/>
      <w:bookmarkStart w:id="865" w:name="Tc_VtygxXFF1UWWIkDsM2T2vQ_16_26"/>
      <w:bookmarkStart w:id="866" w:name="Tc_YK0rIYH9B02-Q0c8DvPyNA_16_23"/>
      <w:bookmarkStart w:id="867" w:name="Tc_O2h4XhUfHEuCjBmVkW8e9A_16_20"/>
      <w:bookmarkStart w:id="868" w:name="Tc_-QuIiVzk3kO9s5zdneAPFQ_16_17"/>
      <w:bookmarkStart w:id="869" w:name="Tc_e-3ZAlGoYE2IEGEu9YXziw_16_14"/>
      <w:bookmarkStart w:id="870" w:name="Tc_HGjelsBGNkiFP8lW0ILW2g_16_11"/>
      <w:bookmarkStart w:id="871" w:name="Tc_r35ENEIuDEuSFxflHm8zSg_16_8"/>
      <w:bookmarkStart w:id="872" w:name="Tc_T_Wv_WJrW0aJ79MRWNnQvw_16_5"/>
      <w:bookmarkStart w:id="873" w:name="Tc_p1O94IwR2EqW5x2MaR2deQ_16_2"/>
      <w:bookmarkStart w:id="874" w:name="Tc_mPbMQwFnfEm5Pi1aQsdhcw_16_0"/>
      <w:bookmarkStart w:id="875" w:name="Tc_Xd8DFO5EYkGlR0WDv3zt3Q_15_24"/>
      <w:bookmarkStart w:id="876" w:name="Tc_gLK1mH9igEOEPO5Lu1MJ7w_15_21"/>
      <w:bookmarkStart w:id="877" w:name="Tc_08LgyI3NvkuaH3vGwUDcug_15_18"/>
      <w:bookmarkStart w:id="878" w:name="Tc_N4Kb8n4uB0SbRSOFehqWIQ_15_15"/>
      <w:bookmarkStart w:id="879" w:name="Tc_Pz6C6KoXA0OmwPWjFSCy8g_15_12"/>
      <w:bookmarkStart w:id="880" w:name="Tc_l4dqBho71UW23__sd-ih9A_15_9"/>
      <w:bookmarkStart w:id="881" w:name="Tc_i6mtl-__pE6Q40zsHsdjsg_15_6"/>
      <w:bookmarkStart w:id="882" w:name="Tc_4UzA3_16EEe9ZkipEVoUYw_15_0"/>
      <w:bookmarkStart w:id="883" w:name="Tc_hbPGtlsxkkq8XyY5ryQSjA_14_27"/>
      <w:bookmarkStart w:id="884" w:name="Tc_S7uFbBZgQU2ekmoQYvb1eg_14_24"/>
      <w:bookmarkStart w:id="885" w:name="Tc_olPJraLm6k6wAomw3nME5Q_14_21"/>
      <w:bookmarkStart w:id="886" w:name="Tc_i7GWx3jIl0eQw30SQecpKw_14_18"/>
      <w:bookmarkStart w:id="887" w:name="Tc_uk5dX_KxDU-Bh0HACv-7Mg_14_15"/>
      <w:bookmarkStart w:id="888" w:name="Tc_Yn7XbTaxlEiLQYUOlZhZzw_14_12"/>
      <w:bookmarkStart w:id="889" w:name="Tc_ac6pHgt85kClQJQfIoXnrA_14_9"/>
      <w:bookmarkStart w:id="890" w:name="Tc_t5AKxi-ImEWZq3VAYxP0GA_14_6"/>
      <w:bookmarkStart w:id="891" w:name="Tc_5F2DxuVjlEulNnK6KrGTJQ_14_3"/>
      <w:bookmarkStart w:id="892" w:name="Tc_cNHoVMXvjEGdACADsZqMWQ_14_0"/>
      <w:bookmarkStart w:id="893" w:name="Tc_Vg_GJvoGYkyxC-1mFONbKA_13_9"/>
      <w:bookmarkStart w:id="894" w:name="Tc_M07_-3Zzi0qMbsQyWG3rjA_13_0"/>
      <w:bookmarkStart w:id="895" w:name="Tc_jYuxfMNB9UeYsbm8nLpLTg_12_26"/>
      <w:bookmarkStart w:id="896" w:name="Tc_dHbYF-ybAUmInMiKaclnqw_12_0"/>
      <w:bookmarkStart w:id="897" w:name="Tc_wy9rwNE72E2yfmaUqccphA_11_26"/>
      <w:bookmarkStart w:id="898" w:name="Tc_62qQ1xlAD0S9ylxB2hG9Eg_11_23"/>
      <w:bookmarkStart w:id="899" w:name="Tc_apuY6zLqQEetgs2qGEZ2Ww_11_20"/>
      <w:bookmarkStart w:id="900" w:name="Tc_vd5BGkf-Z0qXKIcqpCpTqw_11_17"/>
      <w:bookmarkStart w:id="901" w:name="Tc_AdnqkqwfmECAYqcaThCWpg_11_14"/>
      <w:bookmarkStart w:id="902" w:name="Tc_7MK5Cp7K50yugbnzgHh5mA_11_11"/>
      <w:bookmarkStart w:id="903" w:name="Tc_0PBqEeUFU0C7Pgs1_e35bA_11_8"/>
      <w:bookmarkStart w:id="904" w:name="Tc_xZ7rMtFBekKgzGw1GBVtQw_11_5"/>
      <w:bookmarkStart w:id="905" w:name="Tc_pt9It-Jcr0qmVJVgH65vwA_11_2"/>
      <w:bookmarkStart w:id="906" w:name="Tc_xRmHenSVsESuXPYUQgLX6Q_11_0"/>
      <w:bookmarkStart w:id="907" w:name="Tc_C8XE7kcJYkeOUmp8AyIX1Q_10_27"/>
      <w:bookmarkStart w:id="908" w:name="Tc_Lh6m-EEEFU2ZDh90BHk3PQ_10_24"/>
      <w:bookmarkStart w:id="909" w:name="Tc_bs0qrCYkCkG0hsqKM4fbrQ_10_21"/>
      <w:bookmarkStart w:id="910" w:name="Tc_y0PTaBnZ7UentC7amQ9D4g_10_18"/>
      <w:bookmarkStart w:id="911" w:name="Tc_lPdT2US28ECuCinR46m-Dg_10_15"/>
      <w:bookmarkStart w:id="912" w:name="Tc_OUBmxbbMKEOvNjlcE5s9PA_10_12"/>
      <w:bookmarkStart w:id="913" w:name="Tc_r2EMknHxvUOpSdzGw13XNQ_10_9"/>
      <w:bookmarkStart w:id="914" w:name="Tc_krST29a6OkO-RmHSDHKYfQ_10_6"/>
      <w:bookmarkStart w:id="915" w:name="Tc_1zABu3WtYECpweDMIKC-Rw_10_3"/>
      <w:bookmarkStart w:id="916" w:name="Tc_LZHGdBVFNUebl-u4dAbDeg_10_0"/>
      <w:bookmarkStart w:id="917" w:name="Tc_mxZPCBJbKk-ku7UdMzpxLw_9_27"/>
      <w:bookmarkStart w:id="918" w:name="Tc_pv7V_hfgSEaILPvhSuzyrA_9_24"/>
      <w:bookmarkStart w:id="919" w:name="Tc_M4yGGp8uo06-f381oiDl5Q_9_21"/>
      <w:bookmarkStart w:id="920" w:name="Tc_vkcRYt19wkyrWB3OGXP9cw_9_18"/>
      <w:bookmarkStart w:id="921" w:name="Tc_WstnnweLUEWCdJ9KeMmhlA_9_15"/>
      <w:bookmarkStart w:id="922" w:name="Tc_AWs_tCxJaUWUhKAgWThSOw_9_12"/>
      <w:bookmarkStart w:id="923" w:name="Tc_My4cWzGOAE20jxuzMBFd1g_9_9"/>
      <w:bookmarkStart w:id="924" w:name="Tc_K12enhrpZUSo716SwsiV1g_9_6"/>
      <w:bookmarkStart w:id="925" w:name="Tc_OiDAC2qe0EGPOfPsND7rsw_9_3"/>
      <w:bookmarkStart w:id="926" w:name="Tc_F3ZSgaWcskC72KaZtx0YBw_9_0"/>
      <w:bookmarkStart w:id="927" w:name="Tc_HMNyocdEgEmEoh42QOk02g_8_9"/>
      <w:bookmarkStart w:id="928" w:name="Tc_AiYUWlkJekOweM3JGmUh6Q_8_0"/>
      <w:bookmarkStart w:id="929" w:name="Tc_yuFtzVC5pEyE48Pbf2CEYw_7_26"/>
      <w:bookmarkStart w:id="930" w:name="Tc_fibn1YwXwE28mi412u7t7g_7_23"/>
      <w:bookmarkStart w:id="931" w:name="Tc_M8dwbmY0rUWPlelMn2-JWA_7_20"/>
      <w:bookmarkStart w:id="932" w:name="Tc_sUEWUXT6YE2gQBlWE6La5A_7_17"/>
      <w:bookmarkStart w:id="933" w:name="Tc_K7bXh4RXRUWzhwftlQe1GQ_7_14"/>
      <w:bookmarkStart w:id="934" w:name="Tc_Wd9Pi7ALlUCC8fFc8n6jeg_7_11"/>
      <w:bookmarkStart w:id="935" w:name="Tc_CXMJVfYXqE2XDRWYZFJQeg_7_8"/>
      <w:bookmarkStart w:id="936" w:name="Tc_9WS7S8cbc0SxO4_d-qTtLw_7_5"/>
      <w:bookmarkStart w:id="937" w:name="Tc_l6xFQDwwjUmQNJGLLEdT_Q_7_2"/>
      <w:bookmarkStart w:id="938" w:name="Tc_hWLoyR-1dkiukWHZOrYUZA_7_0"/>
      <w:bookmarkStart w:id="939" w:name="Tc_dn8nxPk0CkeU1gk1yyigDA_6_0"/>
      <w:bookmarkStart w:id="940" w:name="Tc_J52gwq7ZsECm2UWYPPeiEg_5_0"/>
      <w:bookmarkStart w:id="941" w:name="Tc_8WBDskvqYUekro_skRz5rw_4_26"/>
      <w:bookmarkStart w:id="942" w:name="Tc_L9sSeJ825karOj0jtpymOQ_4_23"/>
      <w:bookmarkStart w:id="943" w:name="Tc_4yPb9oY4r0-wX0vzjBfz0Q_4_20"/>
      <w:bookmarkStart w:id="944" w:name="Tc_BHizhbJifUWPD4eDSJADqw_4_17"/>
      <w:bookmarkStart w:id="945" w:name="Tc_lhDPq8dibkyNS1duGqbrDQ_4_14"/>
      <w:bookmarkStart w:id="946" w:name="Tc_hrkgm17iN0qeW_dgx2SRPA_4_11"/>
      <w:bookmarkStart w:id="947" w:name="Tc_Gd3RLLXIGkajdf-3C3S7MA_4_8"/>
      <w:bookmarkStart w:id="948" w:name="Tc_5pE1qVuPwEO0nGBv7_LbaA_4_5"/>
      <w:bookmarkStart w:id="949" w:name="Tc_KgKHkNoOVkyM2tSprAAXDQ_4_2"/>
      <w:bookmarkStart w:id="950" w:name="Tc_x3WsBAEy9UmBHe7NXKAuwQ_3_20"/>
      <w:bookmarkStart w:id="951" w:name="Tc_awtdS-DdRkCW7-jHgvauew_3_17"/>
      <w:bookmarkStart w:id="952" w:name="Tc_8DnHtD_PUk-_8XeNXJdofg_3_14"/>
      <w:bookmarkStart w:id="953" w:name="Tc_lF-DPXCxKk2A8UY_gFNl3Q_3_8"/>
      <w:bookmarkStart w:id="954" w:name="Tc_AerkXGp5hEywNeWHtsAj7A_3_5"/>
      <w:bookmarkStart w:id="955" w:name="Tc_F_tPIE9NVkiNM2OUdUHcKA_3_2"/>
      <w:bookmarkStart w:id="956" w:name="Tc_yrt3mqgXjEO5cw2sIYKcLw_2_20"/>
      <w:bookmarkStart w:id="957" w:name="Tc_PKfQ3og3IEClXLiWCeAtjg_2_17"/>
      <w:bookmarkStart w:id="958" w:name="Tc_eXIFGuQgu0GGAJaSgdT4lg_2_8"/>
      <w:bookmarkStart w:id="959" w:name="Tc_0UFMl1jOFEmbHBiWRjDgIw_2_5"/>
      <w:bookmarkStart w:id="960" w:name="Tc_lXVPr0CwME6gZ_IFovqWiQ_1_8"/>
      <w:bookmarkStart w:id="961" w:name="_4568d78d_5a2a_42ca_a409_6f2ad3211e01"/>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Activity in the allowance for credit losses is summarized for the three and six months ended June 30, 2026 and 2025, as follows (in thousands):</w:t>
      </w:r>
    </w:p>
    <w:tbl>
      <w:tblPr>
        <w:tblW w:w="10461" w:type="dxa"/>
        <w:jc w:val="left"/>
        <w:tblInd w:w="0" w:type="dxa"/>
        <w:tblLayout w:type="fixed"/>
        <w:tblCellMar>
          <w:top w:w="0" w:type="dxa"/>
          <w:left w:w="0" w:type="dxa"/>
          <w:bottom w:w="0" w:type="dxa"/>
          <w:right w:w="0" w:type="dxa"/>
        </w:tblCellMar>
      </w:tblPr>
      <w:tblGrid>
        <w:gridCol w:w="931"/>
        <w:gridCol w:w="286"/>
        <w:gridCol w:w="237"/>
        <w:gridCol w:w="544"/>
        <w:gridCol w:w="286"/>
        <w:gridCol w:w="329"/>
        <w:gridCol w:w="632"/>
        <w:gridCol w:w="286"/>
        <w:gridCol w:w="304"/>
        <w:gridCol w:w="582"/>
        <w:gridCol w:w="286"/>
        <w:gridCol w:w="201"/>
        <w:gridCol w:w="385"/>
        <w:gridCol w:w="286"/>
        <w:gridCol w:w="293"/>
        <w:gridCol w:w="563"/>
        <w:gridCol w:w="286"/>
        <w:gridCol w:w="283"/>
        <w:gridCol w:w="543"/>
        <w:gridCol w:w="286"/>
        <w:gridCol w:w="283"/>
        <w:gridCol w:w="543"/>
        <w:gridCol w:w="286"/>
        <w:gridCol w:w="181"/>
        <w:gridCol w:w="346"/>
        <w:gridCol w:w="286"/>
        <w:gridCol w:w="181"/>
        <w:gridCol w:w="52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1185" cy="175260"/>
                      <wp:effectExtent l="0" t="0" r="0" b="0"/>
                      <wp:wrapNone/>
                      <wp:docPr id="124"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1610" cy="175260"/>
                      <wp:effectExtent l="0" t="0" r="0" b="0"/>
                      <wp:wrapNone/>
                      <wp:docPr id="125" name="Frame1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0495" cy="175260"/>
                      <wp:effectExtent l="0" t="0" r="0" b="0"/>
                      <wp:wrapNone/>
                      <wp:docPr id="126" name="Frame12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45440" cy="175260"/>
                      <wp:effectExtent l="0" t="0" r="0" b="0"/>
                      <wp:wrapNone/>
                      <wp:docPr id="127" name="Frame126"/>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1610" cy="175260"/>
                      <wp:effectExtent l="0" t="0" r="0" b="0"/>
                      <wp:wrapNone/>
                      <wp:docPr id="128" name="Frame1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8915" cy="175260"/>
                      <wp:effectExtent l="0" t="0" r="0" b="0"/>
                      <wp:wrapNone/>
                      <wp:docPr id="129" name="Frame128"/>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01320" cy="175260"/>
                      <wp:effectExtent l="0" t="0" r="0" b="0"/>
                      <wp:wrapNone/>
                      <wp:docPr id="130" name="Frame129"/>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1610" cy="175260"/>
                      <wp:effectExtent l="0" t="0" r="0" b="0"/>
                      <wp:wrapNone/>
                      <wp:docPr id="131" name="Frame1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3040" cy="175260"/>
                      <wp:effectExtent l="0" t="0" r="0" b="0"/>
                      <wp:wrapNone/>
                      <wp:docPr id="132" name="Frame13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9570" cy="175260"/>
                      <wp:effectExtent l="0" t="0" r="0" b="0"/>
                      <wp:wrapNone/>
                      <wp:docPr id="133" name="Frame132"/>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1610" cy="175260"/>
                      <wp:effectExtent l="0" t="0" r="0" b="0"/>
                      <wp:wrapNone/>
                      <wp:docPr id="134" name="Frame1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7635" cy="175260"/>
                      <wp:effectExtent l="0" t="0" r="0" b="0"/>
                      <wp:wrapNone/>
                      <wp:docPr id="135" name="Frame13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44475" cy="175260"/>
                      <wp:effectExtent l="0" t="0" r="0" b="0"/>
                      <wp:wrapNone/>
                      <wp:docPr id="136" name="Frame13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1610" cy="175260"/>
                      <wp:effectExtent l="0" t="0" r="0" b="0"/>
                      <wp:wrapNone/>
                      <wp:docPr id="137" name="Frame1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6055" cy="175260"/>
                      <wp:effectExtent l="0" t="0" r="0" b="0"/>
                      <wp:wrapNone/>
                      <wp:docPr id="138" name="Frame13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57505" cy="175260"/>
                      <wp:effectExtent l="0" t="0" r="0" b="0"/>
                      <wp:wrapNone/>
                      <wp:docPr id="139" name="Frame138"/>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1610" cy="175260"/>
                      <wp:effectExtent l="0" t="0" r="0" b="0"/>
                      <wp:wrapNone/>
                      <wp:docPr id="140" name="Frame1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9705" cy="175260"/>
                      <wp:effectExtent l="0" t="0" r="0" b="0"/>
                      <wp:wrapNone/>
                      <wp:docPr id="141" name="Frame14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44805" cy="175260"/>
                      <wp:effectExtent l="0" t="0" r="0" b="0"/>
                      <wp:wrapNone/>
                      <wp:docPr id="142" name="Frame14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1610" cy="175260"/>
                      <wp:effectExtent l="0" t="0" r="0" b="0"/>
                      <wp:wrapNone/>
                      <wp:docPr id="143" name="Frame1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9705" cy="175260"/>
                      <wp:effectExtent l="0" t="0" r="0" b="0"/>
                      <wp:wrapNone/>
                      <wp:docPr id="144" name="Frame14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44805" cy="175260"/>
                      <wp:effectExtent l="0" t="0" r="0" b="0"/>
                      <wp:wrapNone/>
                      <wp:docPr id="145" name="Frame14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1610" cy="175260"/>
                      <wp:effectExtent l="0" t="0" r="0" b="0"/>
                      <wp:wrapNone/>
                      <wp:docPr id="146" name="Frame1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14935" cy="175260"/>
                      <wp:effectExtent l="0" t="0" r="0" b="0"/>
                      <wp:wrapNone/>
                      <wp:docPr id="147"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1610" cy="175260"/>
                      <wp:effectExtent l="0" t="0" r="0" b="0"/>
                      <wp:wrapNone/>
                      <wp:docPr id="149" name="Frame1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4935" cy="175260"/>
                      <wp:effectExtent l="0" t="0" r="0" b="0"/>
                      <wp:wrapNone/>
                      <wp:docPr id="150"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34010" cy="175260"/>
                      <wp:effectExtent l="0" t="0" r="0" b="0"/>
                      <wp:wrapNone/>
                      <wp:docPr id="151" name="Frame15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78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329" w:type="dxa"/>
            <w:tcBorders/>
            <w:vAlign w:val="center"/>
          </w:tcPr>
          <w:p>
            <w:pPr>
              <w:pStyle w:val="TableContents"/>
              <w:bidi w:val="0"/>
              <w:spacing w:before="0" w:after="0"/>
              <w:ind w:left="0" w:right="0" w:hanging="0"/>
              <w:jc w:val="center"/>
              <w:rPr/>
            </w:pPr>
            <w:r>
              <w:rPr/>
              <w:t>​</w:t>
            </w:r>
          </w:p>
        </w:tc>
        <w:tc>
          <w:tcPr>
            <w:tcW w:w="63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86" w:type="dxa"/>
            <w:tcBorders/>
            <w:vAlign w:val="center"/>
          </w:tcPr>
          <w:p>
            <w:pPr>
              <w:pStyle w:val="TableContents"/>
              <w:bidi w:val="0"/>
              <w:spacing w:before="0" w:after="0"/>
              <w:ind w:left="0" w:right="0" w:hanging="0"/>
              <w:jc w:val="center"/>
              <w:rPr/>
            </w:pPr>
            <w:r>
              <w:rPr/>
              <w:t>  ​ ​</w:t>
            </w:r>
          </w:p>
        </w:tc>
        <w:tc>
          <w:tcPr>
            <w:tcW w:w="201"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293" w:type="dxa"/>
            <w:tcBorders/>
            <w:vAlign w:val="center"/>
          </w:tcPr>
          <w:p>
            <w:pPr>
              <w:pStyle w:val="TableContents"/>
              <w:bidi w:val="0"/>
              <w:spacing w:before="0" w:after="0"/>
              <w:ind w:left="0" w:right="0" w:hanging="0"/>
              <w:jc w:val="center"/>
              <w:rPr/>
            </w:pPr>
            <w:r>
              <w:rPr/>
              <w:t>​</w:t>
            </w:r>
          </w:p>
        </w:tc>
        <w:tc>
          <w:tcPr>
            <w:tcW w:w="56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283"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  ​ ​</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28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improvement</w:t>
            </w:r>
          </w:p>
        </w:tc>
        <w:tc>
          <w:tcPr>
            <w:tcW w:w="28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center"/>
              <w:rPr/>
            </w:pPr>
            <w:r>
              <w:rPr/>
              <w:t>​</w:t>
            </w:r>
          </w:p>
        </w:tc>
        <w:tc>
          <w:tcPr>
            <w:tcW w:w="56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One to Four</w:t>
            </w:r>
          </w:p>
        </w:tc>
        <w:tc>
          <w:tcPr>
            <w:tcW w:w="28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28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28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8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9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286" w:type="dxa"/>
            <w:tcBorders/>
            <w:vAlign w:val="center"/>
          </w:tcPr>
          <w:p>
            <w:pPr>
              <w:pStyle w:val="TableContents"/>
              <w:bidi w:val="0"/>
              <w:spacing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participations</w:t>
            </w:r>
          </w:p>
        </w:tc>
        <w:tc>
          <w:tcPr>
            <w:tcW w:w="28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286"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HELOC</w:t>
            </w:r>
          </w:p>
        </w:tc>
        <w:tc>
          <w:tcPr>
            <w:tcW w:w="286"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86"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86"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LOC</w:t>
            </w:r>
          </w:p>
        </w:tc>
        <w:tc>
          <w:tcPr>
            <w:tcW w:w="28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w:t>
            </w:r>
          </w:p>
        </w:tc>
        <w:tc>
          <w:tcPr>
            <w:tcW w:w="28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For the Three Months Ended</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March 31, 2026</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992</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456</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933</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2,817</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968</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501</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907</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2,952</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March 31, 2025</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1,102</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2,273</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June 30, 2025</w:t>
            </w:r>
          </w:p>
        </w:tc>
        <w:tc>
          <w:tcPr>
            <w:tcW w:w="28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w:t>
            </w:r>
          </w:p>
        </w:tc>
        <w:tc>
          <w:tcPr>
            <w:tcW w:w="28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28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8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2,412</w:t>
            </w:r>
          </w:p>
        </w:tc>
      </w:tr>
      <w:tr>
        <w:trPr/>
        <w:tc>
          <w:tcPr>
            <w:tcW w:w="93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For the Six Months Ended</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January 1, 2026</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1,059</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448</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741</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2,682</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968</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501</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907</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2,952</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January 1, 2025</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1,074</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2,126</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8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8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86"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June 30, 2025</w:t>
            </w:r>
          </w:p>
        </w:tc>
        <w:tc>
          <w:tcPr>
            <w:tcW w:w="28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w:t>
            </w:r>
          </w:p>
        </w:tc>
        <w:tc>
          <w:tcPr>
            <w:tcW w:w="28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28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8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8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w:t>
            </w:r>
          </w:p>
        </w:tc>
        <w:tc>
          <w:tcPr>
            <w:tcW w:w="28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28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2,412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2" w:name="Tc_6nEqk6MHuECQtng3G8zvjg_11_14"/>
      <w:bookmarkStart w:id="963" w:name="Tc_ly4iwrPJ_k-jJHEXTfAvCA_11_11"/>
      <w:bookmarkStart w:id="964" w:name="Tc_yTeQCI2yuE69Na9lU23Jsg_11_8"/>
      <w:bookmarkStart w:id="965" w:name="Tc_LHkp-TAwJE6cZpIQkyuQLw_11_5"/>
      <w:bookmarkStart w:id="966" w:name="Tc_rfQw7qjsREuaniwOMhm3nQ_11_2"/>
      <w:bookmarkStart w:id="967" w:name="Tc_JuQjzkbue0mS007Wfqp6fg_10_15"/>
      <w:bookmarkStart w:id="968" w:name="Tc_oy-4kQNA2k2Q05zKJJyVjA_10_9"/>
      <w:bookmarkStart w:id="969" w:name="Tc_hIf1YivDwUm6FJzozVKyIQ_10_6"/>
      <w:bookmarkStart w:id="970" w:name="Tc_tvL51kTx7UaFXtY_c7IEdQ_10_0"/>
      <w:bookmarkStart w:id="971" w:name="Tc_HwhGWi34vE2IoBLv5No2tA_9_15"/>
      <w:bookmarkStart w:id="972" w:name="Tc_-0Z1alOVu0udjoyCA1bI5A_9_9"/>
      <w:bookmarkStart w:id="973" w:name="Tc_2acmP81xD0iPjWim_xKUEg_9_6"/>
      <w:bookmarkStart w:id="974" w:name="Tc_nUInM-57mkmLW1dkw6gYxg_9_0"/>
      <w:bookmarkStart w:id="975" w:name="Tc_LYMYXhGMSki99nUyX_IFqw_8_15"/>
      <w:bookmarkStart w:id="976" w:name="Tc_oFfSGZCkpEiWHXFzlirHHg_8_9"/>
      <w:bookmarkStart w:id="977" w:name="Tc_HB7GBbZpm0KMaEflnpbYMw_8_6"/>
      <w:bookmarkStart w:id="978" w:name="Tc_UBv3BpPBrUKl6lmlDP8vkA_8_0"/>
      <w:bookmarkStart w:id="979" w:name="Tc_1KNO0_AxKEmdpzIY5_oh-A_7_15"/>
      <w:bookmarkStart w:id="980" w:name="Tc_nhb5Wt4vGUacbUcBiV_fRg_7_9"/>
      <w:bookmarkStart w:id="981" w:name="Tc_HrkDeyeYy0WPGS2ezn1mVg_7_6"/>
      <w:bookmarkStart w:id="982" w:name="Tc_cBrJfO7HWUiVH-Xorp_WtA_7_0"/>
      <w:bookmarkStart w:id="983" w:name="Tc_QtuYKfbuTkOZmbgiLR9Unw_6_15"/>
      <w:bookmarkStart w:id="984" w:name="Tc_s-djKdKiR0qXfdLT8LxQDQ_6_0"/>
      <w:bookmarkStart w:id="985" w:name="Tc_i1Rj3upY2ky_2vw_s9VG8w_5_15"/>
      <w:bookmarkStart w:id="986" w:name="Tc_WiVe5KP3XkOAPYQ-EvmgRQ_5_6"/>
      <w:bookmarkStart w:id="987" w:name="Tc_PeaSMStcF0C_uv4xm3dG_w_5_0"/>
      <w:bookmarkStart w:id="988" w:name="Tc_LDqTBO0nnUKeVuwhmX1n4A_4_14"/>
      <w:bookmarkStart w:id="989" w:name="Tc_r6BvQcgvkEG8bOIq6Mh9Ug_4_11"/>
      <w:bookmarkStart w:id="990" w:name="Tc_h7Wla7lac0-3srcwJYKNiw_4_8"/>
      <w:bookmarkStart w:id="991" w:name="Tc_6q4G-gthpky8mOqvlnJXsA_4_5"/>
      <w:bookmarkStart w:id="992" w:name="Tc_02ASpuy_SUqLQr11Hby1_w_4_2"/>
      <w:bookmarkStart w:id="993" w:name="Tc_F1mb9CUY70KYyATxL5SKcQ_4_0"/>
      <w:bookmarkStart w:id="994" w:name="Tc_rUEbhVoKl0mFq62Eegbn5g_3_14"/>
      <w:bookmarkStart w:id="995" w:name="Tc_VYP3ub5HgEWAiDV5AvstXA_3_11"/>
      <w:bookmarkStart w:id="996" w:name="Tc_Qg-2s1xAFEGJHbJ5JFuryA_3_8"/>
      <w:bookmarkStart w:id="997" w:name="Tc_a3_M81qUhUi3AdX-q6hYcA_3_5"/>
      <w:bookmarkStart w:id="998" w:name="Tc_9yyFBH49-02Y82YiFxjRAA_3_2"/>
      <w:bookmarkStart w:id="999" w:name="Tc_m0uQ7pZNKUqTML7nD3Rzhg_3_0"/>
      <w:bookmarkStart w:id="1000" w:name="Tc_npMY82a4wU-zJEnS4jAATA_2_8"/>
      <w:bookmarkStart w:id="1001" w:name="Tc_FLI4syRogUq4r4TpFlSKIQ_2_5"/>
      <w:bookmarkStart w:id="1002" w:name="Tc_PXelrTmte0mqYMerejFlnQ_1_2"/>
      <w:bookmarkStart w:id="1003" w:name="_c796614e_c982_40a6_85d6_6f473ec13c94"/>
      <w:bookmarkStart w:id="1004" w:name="Tc_hOGzIk10O0uDX_fih-vkjg_11_14"/>
      <w:bookmarkStart w:id="1005" w:name="Tc_OuLgC5_xpEyuQzRhSaSDQg_11_11"/>
      <w:bookmarkStart w:id="1006" w:name="Tc_1eK6apqE50GRcSlXTRCPrg_11_8"/>
      <w:bookmarkStart w:id="1007" w:name="Tc_bSbaQuIii06k6GN7eWPtRQ_11_5"/>
      <w:bookmarkStart w:id="1008" w:name="Tc_xdH9FrUrCEq9kmyToneeqA_11_2"/>
      <w:bookmarkStart w:id="1009" w:name="Tc_XqkRNX7oBUi77W8S5nEj6A_10_15"/>
      <w:bookmarkStart w:id="1010" w:name="Tc_ayJT37FrVEyP7Ij6QcLxIA_10_9"/>
      <w:bookmarkStart w:id="1011" w:name="Tc_U8T2BNQThki-1Skq2aHPQQ_10_6"/>
      <w:bookmarkStart w:id="1012" w:name="Tc_FPDDrENy0kuIhEzbk4kn3g_10_0"/>
      <w:bookmarkStart w:id="1013" w:name="Tc_eNIHrAEkqEedDODxBqxFpA_9_15"/>
      <w:bookmarkStart w:id="1014" w:name="Tc_ltzGtCAe_EmLXFXZN1SBQg_9_9"/>
      <w:bookmarkStart w:id="1015" w:name="Tc_m4WcImulQ0i5XtFyfvhn6A_9_6"/>
      <w:bookmarkStart w:id="1016" w:name="Tc_Fjgh2AQ240OeNaNfc4aaQA_9_0"/>
      <w:bookmarkStart w:id="1017" w:name="Tc_YOHI25UFjUW8Sru5ivKqmQ_8_15"/>
      <w:bookmarkStart w:id="1018" w:name="Tc__4eanaY5Vk2g5Lgq9bNClA_8_9"/>
      <w:bookmarkStart w:id="1019" w:name="Tc_IktbICUdTUi5jUNnYqdb9A_8_6"/>
      <w:bookmarkStart w:id="1020" w:name="Tc_AO4bQxqtF0yAHnqvezalfg_8_0"/>
      <w:bookmarkStart w:id="1021" w:name="Tc_3sGRbSyPAkmFgqrO0_zO1w_7_15"/>
      <w:bookmarkStart w:id="1022" w:name="Tc_f81tuShXY0CIG2VjA7RrlQ_7_9"/>
      <w:bookmarkStart w:id="1023" w:name="Tc_5csK-cZD1UC6LnE4lxfPnw_7_6"/>
      <w:bookmarkStart w:id="1024" w:name="Tc_vCDGbWHI5UeWe_B8MgQ8bQ_7_0"/>
      <w:bookmarkStart w:id="1025" w:name="Tc_A5_H_Nrwo0uvsjvca1kggg_6_15"/>
      <w:bookmarkStart w:id="1026" w:name="Tc_Y_WueXQ2-Uy7abDfmZKwWQ_6_9"/>
      <w:bookmarkStart w:id="1027" w:name="Tc_T54jxkH6_0ST3GEsN4E5Eg_6_0"/>
      <w:bookmarkStart w:id="1028" w:name="Tc_Lt_KKsJALk6GqGpMmQwzkw_5_15"/>
      <w:bookmarkStart w:id="1029" w:name="Tc_pgUcBsTJ7EWjvlcLiPFP6g_5_0"/>
      <w:bookmarkStart w:id="1030" w:name="Tc_-zxARJsO7k6ln-fe2GyWLg_4_14"/>
      <w:bookmarkStart w:id="1031" w:name="Tc_TFoyxLOe8kaxEgKc7CQyvw_4_11"/>
      <w:bookmarkStart w:id="1032" w:name="Tc_9I3LAoDhykiYzfZ9Sez6Yg_4_8"/>
      <w:bookmarkStart w:id="1033" w:name="Tc_oZLozC-z60CZl_Ph71zfwg_4_5"/>
      <w:bookmarkStart w:id="1034" w:name="Tc_Iiybfaafo0aVnJvDKx2H-A_4_2"/>
      <w:bookmarkStart w:id="1035" w:name="Tc_v65xlDheGky0FbU8xh-wbQ_4_0"/>
      <w:bookmarkStart w:id="1036" w:name="Tc_G5z7K17hKEmUPkAr1C39Aw_3_14"/>
      <w:bookmarkStart w:id="1037" w:name="Tc_MBK6Pi9enEG0nB_VOXfy9w_3_11"/>
      <w:bookmarkStart w:id="1038" w:name="Tc_mDmULSPnO06CHsFpziZ76w_3_8"/>
      <w:bookmarkStart w:id="1039" w:name="Tc_5_x55R5GzEC_GMuWjXILog_3_5"/>
      <w:bookmarkStart w:id="1040" w:name="Tc_ciM0li2q6U-VqryVG9XihQ_3_2"/>
      <w:bookmarkStart w:id="1041" w:name="Tc_7-pU7xGAOkmTYyH45oIbHA_3_0"/>
      <w:bookmarkStart w:id="1042" w:name="Tc_Pek5MRMliEGOCLlFbbfVoA_2_8"/>
      <w:bookmarkStart w:id="1043" w:name="Tc_e5M9-g1IM025Qzzm3CZwsw_2_5"/>
      <w:bookmarkStart w:id="1044" w:name="Tc_j5tYuDIz2kGJgkboRrLNgw_1_2"/>
      <w:bookmarkStart w:id="1045" w:name="_08bb3c8f_dbd4_4c04_b8c4_c7e0891bea53"/>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aging of loans receivable by class of receivable is as follows (in thousands):</w:t>
      </w:r>
    </w:p>
    <w:tbl>
      <w:tblPr>
        <w:tblW w:w="8940" w:type="dxa"/>
        <w:jc w:val="left"/>
        <w:tblInd w:w="0" w:type="dxa"/>
        <w:tblLayout w:type="fixed"/>
        <w:tblCellMar>
          <w:top w:w="0" w:type="dxa"/>
          <w:left w:w="0" w:type="dxa"/>
          <w:bottom w:w="0" w:type="dxa"/>
          <w:right w:w="0" w:type="dxa"/>
        </w:tblCellMar>
      </w:tblPr>
      <w:tblGrid>
        <w:gridCol w:w="3391"/>
        <w:gridCol w:w="346"/>
        <w:gridCol w:w="196"/>
        <w:gridCol w:w="691"/>
        <w:gridCol w:w="346"/>
        <w:gridCol w:w="196"/>
        <w:gridCol w:w="376"/>
        <w:gridCol w:w="346"/>
        <w:gridCol w:w="196"/>
        <w:gridCol w:w="376"/>
        <w:gridCol w:w="346"/>
        <w:gridCol w:w="196"/>
        <w:gridCol w:w="691"/>
        <w:gridCol w:w="346"/>
        <w:gridCol w:w="217"/>
        <w:gridCol w:w="684"/>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53285" cy="175260"/>
                      <wp:effectExtent l="0" t="0" r="0" b="0"/>
                      <wp:wrapNone/>
                      <wp:docPr id="152" name="Frame151"/>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8760" cy="175260"/>
                      <wp:effectExtent l="0" t="0" r="0" b="0"/>
                      <wp:wrapNone/>
                      <wp:docPr id="158" name="Frame15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0" name="Frame1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8760" cy="175260"/>
                      <wp:effectExtent l="0" t="0" r="0" b="0"/>
                      <wp:wrapNone/>
                      <wp:docPr id="161" name="Frame16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8785" cy="175260"/>
                      <wp:effectExtent l="0" t="0" r="0" b="0"/>
                      <wp:wrapNone/>
                      <wp:docPr id="164"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7795" cy="175260"/>
                      <wp:effectExtent l="0" t="0" r="0" b="0"/>
                      <wp:wrapNone/>
                      <wp:docPr id="166" name="Frame16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34340" cy="175260"/>
                      <wp:effectExtent l="0" t="0" r="0" b="0"/>
                      <wp:wrapNone/>
                      <wp:docPr id="167" name="Frame16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5203"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June 30, 2026</w:t>
            </w:r>
          </w:p>
        </w:tc>
      </w:tr>
      <w:tr>
        <w:trPr/>
        <w:tc>
          <w:tcPr>
            <w:tcW w:w="339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691" w:type="dxa"/>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30 – 89</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90+</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gridSpan w:val="2"/>
            <w:tcBorders/>
            <w:vAlign w:val="center"/>
          </w:tcPr>
          <w:p>
            <w:pPr>
              <w:pStyle w:val="TableContents"/>
              <w:bidi w:val="0"/>
              <w:spacing w:before="0" w:after="1"/>
              <w:ind w:left="0" w:right="0" w:hanging="0"/>
              <w:jc w:val="center"/>
              <w:rPr>
                <w:color w:val="231F20"/>
              </w:rPr>
            </w:pPr>
            <w:r>
              <w:rPr>
                <w:color w:val="231F20"/>
              </w:rPr>
              <w:t>​</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2026</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Current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days</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days</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Total</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Non-Accrual</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One to four residential and home improvement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94,358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888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960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96,206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1,462</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Purchased and Participations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5,454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5,489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84" w:type="dxa"/>
            <w:tcBorders/>
            <w:vAlign w:val="center"/>
          </w:tcPr>
          <w:p>
            <w:pPr>
              <w:pStyle w:val="TableContents"/>
              <w:bidi w:val="0"/>
              <w:spacing w:before="0" w:after="1"/>
              <w:ind w:left="0" w:right="0" w:hanging="0"/>
              <w:jc w:val="right"/>
              <w:rPr>
                <w:color w:val="231F20"/>
              </w:rPr>
            </w:pPr>
            <w:r>
              <w:rPr>
                <w:color w:val="231F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Home Equity Line of Credit (HELOC)</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6,411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6,511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84"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&amp; Industrial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26,692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26,692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84" w:type="dxa"/>
            <w:tcBorders/>
            <w:vAlign w:val="center"/>
          </w:tcPr>
          <w:p>
            <w:pPr>
              <w:pStyle w:val="TableContents"/>
              <w:bidi w:val="0"/>
              <w:spacing w:before="0" w:after="1"/>
              <w:ind w:left="0" w:right="0" w:hanging="0"/>
              <w:jc w:val="right"/>
              <w:rPr>
                <w:color w:val="231F20"/>
              </w:rPr>
            </w:pPr>
            <w:r>
              <w:rPr>
                <w:color w:val="231F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89,727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89,727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84"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construction</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49,556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49,556</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vAlign w:val="center"/>
          </w:tcPr>
          <w:p>
            <w:pPr>
              <w:pStyle w:val="TableContents"/>
              <w:bidi w:val="0"/>
              <w:spacing w:before="0" w:after="1"/>
              <w:ind w:left="0" w:right="0" w:hanging="0"/>
              <w:jc w:val="left"/>
              <w:rPr>
                <w:color w:val="231F20"/>
              </w:rPr>
            </w:pPr>
            <w:r>
              <w:rPr>
                <w:color w:val="231F20"/>
              </w:rPr>
              <w:t> </w:t>
            </w:r>
          </w:p>
        </w:tc>
        <w:tc>
          <w:tcPr>
            <w:tcW w:w="684" w:type="dxa"/>
            <w:tcBorders/>
            <w:vAlign w:val="center"/>
          </w:tcPr>
          <w:p>
            <w:pPr>
              <w:pStyle w:val="TableContents"/>
              <w:bidi w:val="0"/>
              <w:spacing w:before="0" w:after="1"/>
              <w:ind w:left="0" w:right="0" w:hanging="0"/>
              <w:jc w:val="right"/>
              <w:rPr>
                <w:color w:val="231F20"/>
              </w:rPr>
            </w:pPr>
            <w:r>
              <w:rPr>
                <w:color w:val="231F20"/>
              </w:rPr>
              <w:t>—</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Line of Credit (LOC)</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17,971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17,971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r>
      <w:tr>
        <w:trPr/>
        <w:tc>
          <w:tcPr>
            <w:tcW w:w="339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290,169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998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985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292,152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8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16"/>
              </w:rPr>
            </w:pPr>
            <w:r>
              <w:rPr>
                <w:rFonts w:ascii="Times New Roman;Times;serif" w:hAnsi="Times New Roman;Times;serif"/>
                <w:b/>
                <w:color w:val="231F20"/>
                <w:sz w:val="16"/>
              </w:rPr>
              <w:t>1,462</w:t>
            </w:r>
          </w:p>
        </w:tc>
      </w:tr>
    </w:tbl>
    <w:p>
      <w:pPr>
        <w:pStyle w:val="TextBody"/>
        <w:bidi w:val="0"/>
        <w:spacing w:before="0" w:after="240"/>
        <w:ind w:left="0" w:right="0" w:firstLine="360"/>
        <w:jc w:val="left"/>
        <w:rPr/>
      </w:pPr>
      <w:r>
        <w:rPr/>
        <w:t>​</w:t>
      </w:r>
    </w:p>
    <w:tbl>
      <w:tblPr>
        <w:tblW w:w="8940" w:type="dxa"/>
        <w:jc w:val="left"/>
        <w:tblInd w:w="0" w:type="dxa"/>
        <w:tblLayout w:type="fixed"/>
        <w:tblCellMar>
          <w:top w:w="0" w:type="dxa"/>
          <w:left w:w="0" w:type="dxa"/>
          <w:bottom w:w="0" w:type="dxa"/>
          <w:right w:w="0" w:type="dxa"/>
        </w:tblCellMar>
      </w:tblPr>
      <w:tblGrid>
        <w:gridCol w:w="3391"/>
        <w:gridCol w:w="346"/>
        <w:gridCol w:w="196"/>
        <w:gridCol w:w="691"/>
        <w:gridCol w:w="346"/>
        <w:gridCol w:w="196"/>
        <w:gridCol w:w="376"/>
        <w:gridCol w:w="346"/>
        <w:gridCol w:w="196"/>
        <w:gridCol w:w="376"/>
        <w:gridCol w:w="346"/>
        <w:gridCol w:w="196"/>
        <w:gridCol w:w="691"/>
        <w:gridCol w:w="346"/>
        <w:gridCol w:w="217"/>
        <w:gridCol w:w="684"/>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53285" cy="175260"/>
                      <wp:effectExtent l="0" t="0" r="0" b="0"/>
                      <wp:wrapNone/>
                      <wp:docPr id="168" name="Frame16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8785" cy="175260"/>
                      <wp:effectExtent l="0" t="0" r="0" b="0"/>
                      <wp:wrapNone/>
                      <wp:docPr id="171"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38760" cy="175260"/>
                      <wp:effectExtent l="0" t="0" r="0" b="0"/>
                      <wp:wrapNone/>
                      <wp:docPr id="174" name="Frame17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38760" cy="175260"/>
                      <wp:effectExtent l="0" t="0" r="0" b="0"/>
                      <wp:wrapNone/>
                      <wp:docPr id="177" name="Frame17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7795" cy="175260"/>
                      <wp:effectExtent l="0" t="0" r="0" b="0"/>
                      <wp:wrapNone/>
                      <wp:docPr id="182" name="Frame18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4340" cy="175260"/>
                      <wp:effectExtent l="0" t="0" r="0" b="0"/>
                      <wp:wrapNone/>
                      <wp:docPr id="183" name="Frame18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0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 89</w:t>
            </w:r>
          </w:p>
        </w:tc>
        <w:tc>
          <w:tcPr>
            <w:tcW w:w="346" w:type="dxa"/>
            <w:tcBorders/>
            <w:vAlign w:val="center"/>
          </w:tcPr>
          <w:p>
            <w:pPr>
              <w:pStyle w:val="TableContents"/>
              <w:bidi w:val="0"/>
              <w:spacing w:before="0" w:after="0"/>
              <w:ind w:left="0" w:right="0" w:hanging="0"/>
              <w:jc w:val="center"/>
              <w:rPr/>
            </w:pPr>
            <w:r>
              <w:rPr/>
              <w:t>​</w:t>
            </w:r>
          </w:p>
        </w:tc>
        <w:tc>
          <w:tcPr>
            <w:tcW w:w="5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90+</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Current</w:t>
            </w:r>
          </w:p>
        </w:tc>
        <w:tc>
          <w:tcPr>
            <w:tcW w:w="346" w:type="dxa"/>
            <w:tcBorders/>
            <w:vAlign w:val="center"/>
          </w:tcPr>
          <w:p>
            <w:pPr>
              <w:pStyle w:val="TableContents"/>
              <w:bidi w:val="0"/>
              <w:spacing w:before="0" w:after="0"/>
              <w:ind w:left="0" w:right="0" w:hanging="0"/>
              <w:jc w:val="center"/>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346" w:type="dxa"/>
            <w:tcBorders/>
            <w:vAlign w:val="center"/>
          </w:tcPr>
          <w:p>
            <w:pPr>
              <w:pStyle w:val="TableContents"/>
              <w:bidi w:val="0"/>
              <w:spacing w:before="0" w:after="0"/>
              <w:ind w:left="0" w:right="0" w:hanging="0"/>
              <w:jc w:val="center"/>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Non-Accrual</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One to four residential and home improvement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108,408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109,580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Purchased and Participations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 of Credit (HELOC)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&amp; Industrial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23,169</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real estate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76,338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construction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46,124</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Line of Credit (LOC)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274,977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276,341</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1,294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29 participation loans with a balance of $24,962 that had no related allowance that were 90+ days past due and accruing interest at June 30, 2026 and none as of December 31, 2025. As of June 30, 2026, there was one non-accrual loan in the one to four residential class with a balance of $254,790 that had a related allowance of $164,863. As of December 31, 2025, there was one non-accrual loan in the one to four residential class with a balance of $257,044 that had a related allowance of $50,958. No material amount of accrued interest was written off by reversing interest income during the three and six months ended June 30, 2026 or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for economic or legal reasons related to the borrower’s financial difficulties, the Bank grants a concession to the borrower that the Bank would not otherwise consider, the modified loan is classified as a troubled loan modification (TLM). TLMs may consist of forgiveness of interest and/or principal, a reduction of the interest rate, interest-only payments for a period of time, and/or the extension of amortization terms. There were no new TLMs in the three and six months ended June 30, 2026 or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considers a TLM in default if it becomes past due more than 30 days. No TLMs defaulted within 12 months of their modification date during the three and six months ended June 30, 2026 or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significant changes in the extent to which collateral secured our collateral dependent loans as of June 30, 2026 and December 31, 2025. At June 30, 2026 and December 31, 2025, we had approximately $280,749 and $27,650, respectively, of residential real-estate collateral dependent loans without an allowance and no collateral dependent loans with an allowance.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has no commitments to loan additional funds to borrowers whose loans have been determined to be collateral dependent.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mortgage loans in the process of foreclosure at June 30, 2026, and an aggregate of $324,000 in principal amount of mortgage loans in the process of foreclosure at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6" w:name="Tc_WS97Xs9y9EKuquGquHcZuA_32_23"/>
      <w:bookmarkStart w:id="1047" w:name="Tc_B7PZWEgqSEqoIBm9JEB1fQ_32_20"/>
      <w:bookmarkStart w:id="1048" w:name="Tc_uy6L7jQghUu2nIsmetax3w_32_17"/>
      <w:bookmarkStart w:id="1049" w:name="Tc_bspGSqgZLU2Uns4V4qW2rg_32_14"/>
      <w:bookmarkStart w:id="1050" w:name="Tc_SIe5oBYuaE615BsnnSlgIw_32_11"/>
      <w:bookmarkStart w:id="1051" w:name="Tc_6ei1lKKkXkCJ2NrMSwOjYw_32_8"/>
      <w:bookmarkStart w:id="1052" w:name="Tc_TgatcTf30kC0W4XO1KUizw_32_5"/>
      <w:bookmarkStart w:id="1053" w:name="Tc_Q3MPBNG-dUS1dsc2atmoqQ_32_2"/>
      <w:bookmarkStart w:id="1054" w:name="Tc_ZbPFmW9HX0-tHA8VO9Makw_32_0"/>
      <w:bookmarkStart w:id="1055" w:name="Tc_AWOFOedqg0iBXhbArPixow_31_23"/>
      <w:bookmarkStart w:id="1056" w:name="Tc_hIUUG1-dDEOVcz3wDv9hxg_31_21"/>
      <w:bookmarkStart w:id="1057" w:name="Tc_WlI0i5I1yk25mCBRCiK2gw_31_20"/>
      <w:bookmarkStart w:id="1058" w:name="Tc_XUmUn5s0XUKQ-2GF7_QZQg_31_17"/>
      <w:bookmarkStart w:id="1059" w:name="Tc_2po_YqBHaUKiKUUSZh9WlQ_31_15"/>
      <w:bookmarkStart w:id="1060" w:name="Tc_OsJzPqr4fkaF9Advkrr30w_31_14"/>
      <w:bookmarkStart w:id="1061" w:name="Tc_CNcL8WAclU2G8Q1Li8gCvQ_31_12"/>
      <w:bookmarkStart w:id="1062" w:name="Tc_czRyzz1YF0C9nBrZbp0vKQ_31_11"/>
      <w:bookmarkStart w:id="1063" w:name="Tc_SgeazaXs8U2KRs16UAaZrQ_31_9"/>
      <w:bookmarkStart w:id="1064" w:name="Tc_YxhWalPIXkmyWdDZgftniQ_31_8"/>
      <w:bookmarkStart w:id="1065" w:name="Tc_C83gnhxppUaIHkAoyYcdow_31_6"/>
      <w:bookmarkStart w:id="1066" w:name="Tc_9eQlH9mBjEaqJ0kL4XShlw_31_5"/>
      <w:bookmarkStart w:id="1067" w:name="Tc_sOYanzTwg0Omnax_Jfn4Bw_31_3"/>
      <w:bookmarkStart w:id="1068" w:name="Tc_a9BLUo7Yrk-wfTa7AyI9pw_31_2"/>
      <w:bookmarkStart w:id="1069" w:name="Tc_qA6_T53baEaSZ9aHjCVHGQ_31_0"/>
      <w:bookmarkStart w:id="1070" w:name="Tc_iU49lWJvSUKC1oS9vdbw_Q_30_24"/>
      <w:bookmarkStart w:id="1071" w:name="Tc_yjCOMDj-C069GB4w0VmCzg_30_21"/>
      <w:bookmarkStart w:id="1072" w:name="Tc_D0cPwIEpGUOZN_KyBJtfmQ_30_18"/>
      <w:bookmarkStart w:id="1073" w:name="Tc_KLF3-AU_Ck60AuKRZPdFjg_30_15"/>
      <w:bookmarkStart w:id="1074" w:name="Tc_H8g6J36pFEWmAHh9lse7GA_30_12"/>
      <w:bookmarkStart w:id="1075" w:name="Tc_wuW7rjgtHUaXScDWyjW_ag_30_9"/>
      <w:bookmarkStart w:id="1076" w:name="Tc_p2Q65FTPIEy_gftpmrXMYw_30_6"/>
      <w:bookmarkStart w:id="1077" w:name="Tc_DX7VrTX7pUuz_TAG0ZmR7w_30_3"/>
      <w:bookmarkStart w:id="1078" w:name="Tc_j0YipbVw4EGpdBVZnR2p3Q_30_0"/>
      <w:bookmarkStart w:id="1079" w:name="Tc_STlklYR16Ei24oEhWCPeSQ_29_24"/>
      <w:bookmarkStart w:id="1080" w:name="Tc_8CgyBVCF6kOgsc9HEmdFVA_29_21"/>
      <w:bookmarkStart w:id="1081" w:name="Tc_Dy9sXbzAN0uTL4f582GLaA_29_18"/>
      <w:bookmarkStart w:id="1082" w:name="Tc_SGxZ6C-Fm0q12lif-Yu46g_29_15"/>
      <w:bookmarkStart w:id="1083" w:name="Tc_pqBLHEMwhUOtMABGndBOsw_29_12"/>
      <w:bookmarkStart w:id="1084" w:name="Tc_eJsshscwZka3Rs4iQ8LxBQ_29_9"/>
      <w:bookmarkStart w:id="1085" w:name="Tc_pYwwn03nu0WBreau--DG_g_29_6"/>
      <w:bookmarkStart w:id="1086" w:name="Tc_s6VDNY1jNkytTpcR9WS0ZQ_29_3"/>
      <w:bookmarkStart w:id="1087" w:name="Tc_tr9UbVEuZkaUYDmtL0aU1w_29_0"/>
      <w:bookmarkStart w:id="1088" w:name="Tc_NAyRfCyzHUC4g9W-zj5eug_28_24"/>
      <w:bookmarkStart w:id="1089" w:name="Tc_mpAP4whC3EyESBxbJrJYBg_28_21"/>
      <w:bookmarkStart w:id="1090" w:name="Tc_ho17TzW9KUeT8QajjNoW0Q_28_18"/>
      <w:bookmarkStart w:id="1091" w:name="Tc_9gz81j0xN0mV7BjhyeK_nA_28_15"/>
      <w:bookmarkStart w:id="1092" w:name="Tc_3WMFL4vrlkmtqd0mD1tDJA_28_12"/>
      <w:bookmarkStart w:id="1093" w:name="Tc_CIErKbN_8U-6xEiLvrvYmg_28_9"/>
      <w:bookmarkStart w:id="1094" w:name="Tc_LJAtPDk3M0ypBYLq8q7lLQ_28_6"/>
      <w:bookmarkStart w:id="1095" w:name="Tc_9jX-lpgog0etsl4L-2bLXg_28_3"/>
      <w:bookmarkStart w:id="1096" w:name="Tc_yfi0ws6BjkmJF8iyKN5XmQ_28_0"/>
      <w:bookmarkStart w:id="1097" w:name="Tc_fhsw4G-JW0yOdoda59fgow_27_24"/>
      <w:bookmarkStart w:id="1098" w:name="Tc_9lb6zjyUSkWgS1JWxh9xUg_27_21"/>
      <w:bookmarkStart w:id="1099" w:name="Tc_r4vKpJBsMECZd4asrxxMsg_27_18"/>
      <w:bookmarkStart w:id="1100" w:name="Tc_4jJhQSEbW0a3HCOz1oVYMA_27_15"/>
      <w:bookmarkStart w:id="1101" w:name="Tc_1gK1FC6a0Ei01heaRUqREQ_27_12"/>
      <w:bookmarkStart w:id="1102" w:name="Tc_F2Knu0Uqs0-dQGLMNsCMSw_27_9"/>
      <w:bookmarkStart w:id="1103" w:name="Tc_B_mWT9CPtUa8-b9bNaBKCQ_27_6"/>
      <w:bookmarkStart w:id="1104" w:name="Tc_b1csxdHRIUS2_pk5_egiMA_27_3"/>
      <w:bookmarkStart w:id="1105" w:name="Tc_BkG_tPNvTUSW-23mXq-SRg_27_0"/>
      <w:bookmarkStart w:id="1106" w:name="Tc_MzUsxHhd8k6Oy4nJo8n4vA_26_24"/>
      <w:bookmarkStart w:id="1107" w:name="Tc_czxhs2kVA0yYoVjYc37HcA_26_21"/>
      <w:bookmarkStart w:id="1108" w:name="Tc_G9GaaVc7p0Wa6YB3BxhELg_26_18"/>
      <w:bookmarkStart w:id="1109" w:name="Tc_9Fnnbo5PX0iPodEEjo3_DQ_26_15"/>
      <w:bookmarkStart w:id="1110" w:name="Tc_MBzFqtU6A0GeVR1TA32IFQ_26_12"/>
      <w:bookmarkStart w:id="1111" w:name="Tc_2LbL8XizUkG1Mlf3Q_MI5A_26_9"/>
      <w:bookmarkStart w:id="1112" w:name="Tc_uQlpftRZdkKKnoY2Kyi1Jg_26_6"/>
      <w:bookmarkStart w:id="1113" w:name="Tc_Y8c3eq0tTEmUKh5i6--GXg_26_3"/>
      <w:bookmarkStart w:id="1114" w:name="Tc_jPo_jkGlQUukvu98qbWxkQ_26_0"/>
      <w:bookmarkStart w:id="1115" w:name="Tc_-3P4Ddv7mkynHGCoNouRcQ_25_24"/>
      <w:bookmarkStart w:id="1116" w:name="Tc_UWl1yMyvQkugxgofQWQ5zg_25_21"/>
      <w:bookmarkStart w:id="1117" w:name="Tc_VCsx4GzhIkW1PCD1Vqu26A_25_18"/>
      <w:bookmarkStart w:id="1118" w:name="Tc_xOc4207-60G29Uj75zHwRQ_25_15"/>
      <w:bookmarkStart w:id="1119" w:name="Tc_7kEe6jS4KEaZ1KkeiO9Sbg_25_12"/>
      <w:bookmarkStart w:id="1120" w:name="Tc_r4_ygDnUo0KLY2Ra6fZceA_25_9"/>
      <w:bookmarkStart w:id="1121" w:name="Tc_f9ME7D2GQEGKrg_7SLsF8g_25_6"/>
      <w:bookmarkStart w:id="1122" w:name="Tc_Xipdt_KSgEi0oEkoKKcSBw_25_3"/>
      <w:bookmarkStart w:id="1123" w:name="Tc_zP7dP9FMekaieU9ZfQcZ_Q_25_0"/>
      <w:bookmarkStart w:id="1124" w:name="Tc_EV8FpHa1hEe8qwXLCuMUiQ_24_24"/>
      <w:bookmarkStart w:id="1125" w:name="Tc_3x1cdzdDOkSe9vd3hlrR6Q_24_21"/>
      <w:bookmarkStart w:id="1126" w:name="Tc_gxC1MBRvOka8cbJoN3DpcA_24_18"/>
      <w:bookmarkStart w:id="1127" w:name="Tc_RQHGHn73DkahAXIrg_lwDg_24_15"/>
      <w:bookmarkStart w:id="1128" w:name="Tc_K9Y2oZ8ns0iqnAmPu6t3nQ_24_12"/>
      <w:bookmarkStart w:id="1129" w:name="Tc_hTTWzDMpfkmXQ9O3i7jFog_24_9"/>
      <w:bookmarkStart w:id="1130" w:name="Tc_5ucuoQHDmkq8_RAFvjy03w_24_6"/>
      <w:bookmarkStart w:id="1131" w:name="Tc_YoostaVdSEedN5d2LlwkCQ_24_3"/>
      <w:bookmarkStart w:id="1132" w:name="Tc_1ME37Ng3FkycmARIY-B5yA_24_0"/>
      <w:bookmarkStart w:id="1133" w:name="Tc_sdG4xcKU9kaLm-U2yP2Odw_23_21"/>
      <w:bookmarkStart w:id="1134" w:name="Tc_tE-T4sDALEibmUrkuxkpPQ_23_15"/>
      <w:bookmarkStart w:id="1135" w:name="Tc_dOMJcg__YEaU3KvA4-1eWA_23_12"/>
      <w:bookmarkStart w:id="1136" w:name="Tc_JCnUboM3b0-GSe1P7ra7WA_23_9"/>
      <w:bookmarkStart w:id="1137" w:name="Tc_t-dokfZ8-kmaU1B2CeIlfg_23_6"/>
      <w:bookmarkStart w:id="1138" w:name="Tc_TcJIQLtnpk-8GibcyXvmTw_23_3"/>
      <w:bookmarkStart w:id="1139" w:name="Tc_-vfAqHr3zkW8LxqXcowUQw_23_0"/>
      <w:bookmarkStart w:id="1140" w:name="Tc_hJrHLcIvhU2NCAWaUgNO-w_22_0"/>
      <w:bookmarkStart w:id="1141" w:name="Tc_txUxBIHF5ECQFH8D2o_EIg_21_23"/>
      <w:bookmarkStart w:id="1142" w:name="Tc_8bdyoRkaFkiQ8L93uIVRcQ_21_21"/>
      <w:bookmarkStart w:id="1143" w:name="Tc_uWnoWyL-p06j3f9097_LJA_21_20"/>
      <w:bookmarkStart w:id="1144" w:name="Tc_wS3UY_jE2Uahq446H459Nw_21_17"/>
      <w:bookmarkStart w:id="1145" w:name="Tc_Sw6sXu5trky77yQ34ctg9A_21_15"/>
      <w:bookmarkStart w:id="1146" w:name="Tc_pc0N2oXzMkyKLN0CuqpgsA_21_14"/>
      <w:bookmarkStart w:id="1147" w:name="Tc_PkJHyVfeb0GursEbAYaTAw_21_12"/>
      <w:bookmarkStart w:id="1148" w:name="Tc_PpDZ4VqYAECrgf6yV4Z0yA_21_11"/>
      <w:bookmarkStart w:id="1149" w:name="Tc_D3Mr6dfmi0yc1ezBJtEjFg_21_8"/>
      <w:bookmarkStart w:id="1150" w:name="Tc_1Fra91_AvUK3vDw56qU-Tw_21_6"/>
      <w:bookmarkStart w:id="1151" w:name="Tc_O_QedUUH6EiGJEe82gh1IQ_21_5"/>
      <w:bookmarkStart w:id="1152" w:name="Tc_3t2RaFEARkaBOWz1pMgDyA_21_3"/>
      <w:bookmarkStart w:id="1153" w:name="Tc_nNYfrUpACkuLOFhH03IJwg_21_2"/>
      <w:bookmarkStart w:id="1154" w:name="Tc_K52Mee1wYEW7lG7TwaVwpw_21_0"/>
      <w:bookmarkStart w:id="1155" w:name="Tc_x-Ae6r-2B0ejIUc0umYolA_20_24"/>
      <w:bookmarkStart w:id="1156" w:name="Tc_EN_sL0hGTki10M0ZJbBogg_20_21"/>
      <w:bookmarkStart w:id="1157" w:name="Tc_2jdXc6CInkCyHAmb4-jsLQ_20_18"/>
      <w:bookmarkStart w:id="1158" w:name="Tc_BbSDTTJQtEyvaQpNeZV8xQ_20_15"/>
      <w:bookmarkStart w:id="1159" w:name="Tc_-EIGiaBeC023TLIO4xn4YA_20_12"/>
      <w:bookmarkStart w:id="1160" w:name="Tc_OhUlq31KEkyHsX3FH9i60g_20_9"/>
      <w:bookmarkStart w:id="1161" w:name="Tc_AxsTiTZmxUCVYJJdNlRP-g_20_6"/>
      <w:bookmarkStart w:id="1162" w:name="Tc_qpuPMZb-5kqgXfQ2yyr7_g_20_3"/>
      <w:bookmarkStart w:id="1163" w:name="Tc_icnE772LOkC_je3xv2trcw_20_0"/>
      <w:bookmarkStart w:id="1164" w:name="Tc_Djww42YA5EW_byEIVQq-HQ_19_21"/>
      <w:bookmarkStart w:id="1165" w:name="Tc_UceT7xOi4EmXrwGr9pyWBg_19_18"/>
      <w:bookmarkStart w:id="1166" w:name="Tc_6CEjscoMfkSQZEleNw1XoA_19_15"/>
      <w:bookmarkStart w:id="1167" w:name="Tc_0sUTbIjO7ESwIYRfCN-BYQ_19_12"/>
      <w:bookmarkStart w:id="1168" w:name="Tc_XptKlgWDwUW0D6r5ojb9xg_19_6"/>
      <w:bookmarkStart w:id="1169" w:name="Tc_ulpM8itWsE29Lubbq0D1Vw_19_3"/>
      <w:bookmarkStart w:id="1170" w:name="Tc_OZ3L27g8CEORv7E5x_g1hA_19_0"/>
      <w:bookmarkStart w:id="1171" w:name="Tc_WDdTclRhH0aJlHu2MquNww_18_21"/>
      <w:bookmarkStart w:id="1172" w:name="Tc_GTOtXWDwvE-fmtd02_wHRg_18_18"/>
      <w:bookmarkStart w:id="1173" w:name="Tc_2npHVkfDjUehQtQrFegz1g_18_15"/>
      <w:bookmarkStart w:id="1174" w:name="Tc_qfmpFXDgzEKD4QaTXv4V0g_18_12"/>
      <w:bookmarkStart w:id="1175" w:name="Tc_vozuPdiQVk6pzttXYv7e0g_18_6"/>
      <w:bookmarkStart w:id="1176" w:name="Tc_2UqDaM6nPUqcw1IUQG8JWg_18_3"/>
      <w:bookmarkStart w:id="1177" w:name="Tc_xUOOujKqZE-fSz-xUON-qQ_18_0"/>
      <w:bookmarkStart w:id="1178" w:name="Tc_kzCm0OLq3UydfG-IgsF8xw_17_24"/>
      <w:bookmarkStart w:id="1179" w:name="Tc_KrYrEOILr0a8POww88JlQQ_17_21"/>
      <w:bookmarkStart w:id="1180" w:name="Tc_pZ0O7wyJyU6A4CH-TtS7ZA_17_18"/>
      <w:bookmarkStart w:id="1181" w:name="Tc_mr3hYP3TuU-i6OVIR_yJ4Q_17_15"/>
      <w:bookmarkStart w:id="1182" w:name="Tc_pO8r5plJEkmUJUPDYuWwdQ_17_12"/>
      <w:bookmarkStart w:id="1183" w:name="Tc_sg9gArdWokqco6fh-Q45jQ_17_9"/>
      <w:bookmarkStart w:id="1184" w:name="Tc_eSTb3F3uPkK47jDgkA_q-g_17_6"/>
      <w:bookmarkStart w:id="1185" w:name="Tc_5hRBHcvAhEmPHLGl-XEnbg_17_3"/>
      <w:bookmarkStart w:id="1186" w:name="Tc_k5ycZ9iEnkiWlwC99beudg_17_0"/>
      <w:bookmarkStart w:id="1187" w:name="Tc_qJnTu9iDcU-cj2B73CZ0AA_16_24"/>
      <w:bookmarkStart w:id="1188" w:name="Tc_0ukHXXogcEOmeSfeTR7QLw_16_21"/>
      <w:bookmarkStart w:id="1189" w:name="Tc__5XugvmptEGOhAt-ds27cw_16_18"/>
      <w:bookmarkStart w:id="1190" w:name="Tc_HE7v3mmJ1EGwCO1slmHksA_16_15"/>
      <w:bookmarkStart w:id="1191" w:name="Tc_3KUl9HMw_Ea5fxz-RgrDHA_16_12"/>
      <w:bookmarkStart w:id="1192" w:name="Tc_oUwcdZtpEEeEcJ3Qd_4f2Q_16_9"/>
      <w:bookmarkStart w:id="1193" w:name="Tc_8OcmdD4YAUik6-DfPpBvbA_16_6"/>
      <w:bookmarkStart w:id="1194" w:name="Tc_OSuhR6IGy0qcdfhJlDRlQA_16_3"/>
      <w:bookmarkStart w:id="1195" w:name="Tc_7xim5Ovx9U2bHM4UP6yO6w_16_0"/>
      <w:bookmarkStart w:id="1196" w:name="Tc_u98bbn7Dc0ipMqZ-YLHqmQ_15_24"/>
      <w:bookmarkStart w:id="1197" w:name="Tc_CTt_shhjqk-Wr_NSXx1DIQ_15_21"/>
      <w:bookmarkStart w:id="1198" w:name="Tc_B5n582peYkacJkNGp6b-oA_15_18"/>
      <w:bookmarkStart w:id="1199" w:name="Tc_0i4JURGgE0GE-WzKGPnr1g_15_15"/>
      <w:bookmarkStart w:id="1200" w:name="Tc_AQcaA1Ob6EqRyoaJLPYauQ_15_12"/>
      <w:bookmarkStart w:id="1201" w:name="Tc_4fn0q108vESdKjm4-MYUlw_15_9"/>
      <w:bookmarkStart w:id="1202" w:name="Tc_Cd7frmIDjUGi-hZsYtiHHQ_15_6"/>
      <w:bookmarkStart w:id="1203" w:name="Tc_HhX8bPBsj06h2kgm846ASg_15_3"/>
      <w:bookmarkStart w:id="1204" w:name="Tc_G40yzNKURkSLvUhKpdruGA_15_0"/>
      <w:bookmarkStart w:id="1205" w:name="Tc_nP9CPk0byEmJto424SM7vA_14_24"/>
      <w:bookmarkStart w:id="1206" w:name="Tc_1nrF0eCNcUypEifmVA622g_14_21"/>
      <w:bookmarkStart w:id="1207" w:name="Tc_K4F_mdloQEy9Hv8hPh4gGg_14_18"/>
      <w:bookmarkStart w:id="1208" w:name="Tc_TQ6_RIDqG02Ab13WN1AgzA_14_15"/>
      <w:bookmarkStart w:id="1209" w:name="Tc_g2S5fxKQLkSkhW98Fk3fkA_14_12"/>
      <w:bookmarkStart w:id="1210" w:name="Tc_MkQO_NhfB0-1FhIcTvtbKA_14_9"/>
      <w:bookmarkStart w:id="1211" w:name="Tc_cFYPefTqx0WP6q1bu1RWsg_14_6"/>
      <w:bookmarkStart w:id="1212" w:name="Tc_dCKbSWHxhEerJeuFOJhcRA_14_3"/>
      <w:bookmarkStart w:id="1213" w:name="Tc_IXjMvaMcBEGkN9E4c3uz3w_14_0"/>
      <w:bookmarkStart w:id="1214" w:name="Tc_YSl7LIljVku4rFF3gGq9uA_13_21"/>
      <w:bookmarkStart w:id="1215" w:name="Tc_EPngJO_c2k6P2lR-5yjlnQ_13_15"/>
      <w:bookmarkStart w:id="1216" w:name="Tc_dzgedwA6ikuw3c_o-LKexQ_13_12"/>
      <w:bookmarkStart w:id="1217" w:name="Tc_oW85nUAHFkK2zl2iK6TfnQ_13_9"/>
      <w:bookmarkStart w:id="1218" w:name="Tc__q9T2H2JKUOgNzqY-ZlhUw_13_6"/>
      <w:bookmarkStart w:id="1219" w:name="Tc_AowKx7lmUkGseOPe4OfasA_13_3"/>
      <w:bookmarkStart w:id="1220" w:name="Tc_iJcMBKfaCkGi5fzbW_hl-Q_13_0"/>
      <w:bookmarkStart w:id="1221" w:name="Tc_hiuPU83pR0GBZaL1pPigPQ_12_0"/>
      <w:bookmarkStart w:id="1222" w:name="Tc_ST8TRe7HJkmuE0QpZeSO2Q_11_23"/>
      <w:bookmarkStart w:id="1223" w:name="Tc__nbHazDSj0m6CCSEIW5A_w_11_20"/>
      <w:bookmarkStart w:id="1224" w:name="Tc_37_eBv8YcUuWW0GdOyvcHQ_11_17"/>
      <w:bookmarkStart w:id="1225" w:name="Tc_LJkn_N061Ua4vxSA5VgXXQ_11_14"/>
      <w:bookmarkStart w:id="1226" w:name="Tc_quMjJ9AXEkm5FZqx3UTQcw_11_11"/>
      <w:bookmarkStart w:id="1227" w:name="Tc_BP3TwPhMnkSWPpWPqQnG9Q_11_8"/>
      <w:bookmarkStart w:id="1228" w:name="Tc_kN9nF8gdS0m4ZGnZNhiktg_11_5"/>
      <w:bookmarkStart w:id="1229" w:name="Tc_EpPToc6_jkGpsRGwOcjCzg_11_2"/>
      <w:bookmarkStart w:id="1230" w:name="Tc_KjSBzMjIi0WSoMFT8DCBJA_11_0"/>
      <w:bookmarkStart w:id="1231" w:name="Tc_2WbFk5Qz60Ociz2fcc_-iA_10_21"/>
      <w:bookmarkStart w:id="1232" w:name="Tc__JUPbVVUg0uGjsHHdDCflQ_10_18"/>
      <w:bookmarkStart w:id="1233" w:name="Tc_AvH2F0dQuU-We7zN6GSk5A_10_15"/>
      <w:bookmarkStart w:id="1234" w:name="Tc_YfzhHpHD5kK0Sls0Ji0n3w_10_12"/>
      <w:bookmarkStart w:id="1235" w:name="Tc_SIaNJw9cOkSwG3UqG7ZmlQ_10_0"/>
      <w:bookmarkStart w:id="1236" w:name="Tc_12SET34KWkmoAXHvVredyA_9_21"/>
      <w:bookmarkStart w:id="1237" w:name="Tc_2WwmS7uO3UaPemswOIve7w_9_18"/>
      <w:bookmarkStart w:id="1238" w:name="Tc_g1QR8VO3EEy34GvApsXU2Q_9_15"/>
      <w:bookmarkStart w:id="1239" w:name="Tc_1LMpwECYjk2cJxyN7VLT8g_9_0"/>
      <w:bookmarkStart w:id="1240" w:name="Tc_sTe3fKn7_EqRveTwEJRsYA_8_21"/>
      <w:bookmarkStart w:id="1241" w:name="Tc_6SRcKrqTjEqnhWQdxJ1xYw_8_18"/>
      <w:bookmarkStart w:id="1242" w:name="Tc_CWsxI-L840SPfD6NesymcA_8_15"/>
      <w:bookmarkStart w:id="1243" w:name="Tc_dBDji3d0UUy0_fkCtMq-4A_8_0"/>
      <w:bookmarkStart w:id="1244" w:name="Tc_VihdNZY3d02GH31jsqIMew_7_21"/>
      <w:bookmarkStart w:id="1245" w:name="Tc_JFM_jD7fSUOypYlpz3lacA_7_18"/>
      <w:bookmarkStart w:id="1246" w:name="Tc_h6nuBuh910ClFGhk9a07yQ_7_15"/>
      <w:bookmarkStart w:id="1247" w:name="Tc_Kc9zjsMS6U6RYto1WVFunQ_7_0"/>
      <w:bookmarkStart w:id="1248" w:name="Tc__-AqMSQCZE2iUq5u8YjErQ_6_18"/>
      <w:bookmarkStart w:id="1249" w:name="Tc_FMpdLuKkkUSVoq12hfkkBQ_6_15"/>
      <w:bookmarkStart w:id="1250" w:name="Tc_AdY2gnS6Y0mq8BeWa14W_g_6_12"/>
      <w:bookmarkStart w:id="1251" w:name="Tc_6xsEHSiFrkWVi_0rI7fTuA_6_9"/>
      <w:bookmarkStart w:id="1252" w:name="Tc_VxhDlLgQbECmSh8Dixwg_A_6_6"/>
      <w:bookmarkStart w:id="1253" w:name="Tc_T0j27miHCkyD6BRN5wWL-g_6_3"/>
      <w:bookmarkStart w:id="1254" w:name="Tc_4aU5Q4L4mEymtx6HCzt96g_6_0"/>
      <w:bookmarkStart w:id="1255" w:name="Tc_2c8vjwWvpkyY8M4t4uY0cA_5_21"/>
      <w:bookmarkStart w:id="1256" w:name="Tc_7LbAnQT8i0GVP8aFBvY8rQ_5_9"/>
      <w:bookmarkStart w:id="1257" w:name="Tc_pUTLS6gMh0y1yTsCDU0neA_5_0"/>
      <w:bookmarkStart w:id="1258" w:name="Tc_kiRNKdQWPkm9qMvL0blwPQ_4_21"/>
      <w:bookmarkStart w:id="1259" w:name="Tc_GCzl0z9R0ESBjp1U4pFO6g_4_15"/>
      <w:bookmarkStart w:id="1260" w:name="Tc_p0UN9zm0JUOgC0mmROaCSw_4_12"/>
      <w:bookmarkStart w:id="1261" w:name="Tc_x6ppxVmiGUqB_ags4KgjEw_4_9"/>
      <w:bookmarkStart w:id="1262" w:name="Tc_Yxef2WGA9UiR2AhKj4gGlg_4_6"/>
      <w:bookmarkStart w:id="1263" w:name="Tc_lvUuHv-haEKBzoIc8Vl1iQ_4_3"/>
      <w:bookmarkStart w:id="1264" w:name="Tc_AEUH5KeY4E-CBqW0vSJTZw_4_0"/>
      <w:bookmarkStart w:id="1265" w:name="Tc_ckHa3EZ1DEubYfeopOt81g_3_23"/>
      <w:bookmarkStart w:id="1266" w:name="Tc_L2kmBNladUa9SSV7mqlMDA_3_21"/>
      <w:bookmarkStart w:id="1267" w:name="Tc_UWTs1RvZkUKPmERoxJIsTw_3_20"/>
      <w:bookmarkStart w:id="1268" w:name="Tc_1P9oAuvC8ESS1Aw2gfFpAA_3_17"/>
      <w:bookmarkStart w:id="1269" w:name="Tc_McIJsyQHbEarkUVdEsV55g_3_14"/>
      <w:bookmarkStart w:id="1270" w:name="Tc_ACSlJDzZl0uIeCWtG4gLyA_3_11"/>
      <w:bookmarkStart w:id="1271" w:name="Tc_63e8LtbM20y1FxpDkQBjtQ_3_8"/>
      <w:bookmarkStart w:id="1272" w:name="Tc_HYY6ADJloEil7fMYYkgPRA_3_5"/>
      <w:bookmarkStart w:id="1273" w:name="Tc_817AMf5AykWu-TL_6v2mlQ_3_2"/>
      <w:bookmarkStart w:id="1274" w:name="Tc_N5pFG9fvf0imeEgnnAm8Ig_3_0"/>
      <w:bookmarkStart w:id="1275" w:name="Tc_drJHmcHOj0-aY3En_r-FZA_2_0"/>
      <w:bookmarkStart w:id="1276" w:name="Tc_v-gGo-1x90yMkHhrIHv56Q_1_23"/>
      <w:bookmarkStart w:id="1277" w:name="Tc_hmsecK-F9UyLRMFDtfXHCg_1_20"/>
      <w:bookmarkStart w:id="1278" w:name="Tc_iA5dX_FSn0-K14O7BGNSFg_1_17"/>
      <w:bookmarkStart w:id="1279" w:name="Tc_4CSAHo5cnkSnthbScwZs2w_1_14"/>
      <w:bookmarkStart w:id="1280" w:name="Tc_XW6bgk_tZEKMSvXX253yCg_1_11"/>
      <w:bookmarkStart w:id="1281" w:name="Tc_l_wgX5nEpkGcdUSOkMmxSA_1_8"/>
      <w:bookmarkStart w:id="1282" w:name="Tc_wQ6ttGPZhUWT3kbOJ5YkLg_1_5"/>
      <w:bookmarkStart w:id="1283" w:name="Tc_z3oqdTmTe0Ch1_ZTUk4Jgw_1_2"/>
      <w:bookmarkStart w:id="1284" w:name="Tc_mPGWD_Cl3kuH68evidY69w_1_0"/>
      <w:bookmarkStart w:id="1285" w:name="_0d823feb_0f38_47d4_891f_df2a99b4f05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Business commercial loans are generally evaluated using the following internally prepared ratings:</w:t>
      </w:r>
    </w:p>
    <w:p>
      <w:pPr>
        <w:pStyle w:val="TextBody"/>
        <w:bidi w:val="0"/>
        <w:spacing w:before="0" w:after="240"/>
        <w:ind w:left="0" w:right="0" w:firstLine="360"/>
        <w:jc w:val="left"/>
        <w:rPr/>
      </w:pPr>
      <w:r>
        <w:rPr/>
        <w:t>“</w:t>
      </w:r>
      <w:r>
        <w:rPr>
          <w:rFonts w:ascii="Times New Roman;Times;serif" w:hAnsi="Times New Roman;Times;serif"/>
          <w:sz w:val="20"/>
        </w:rPr>
        <w:t>Pass” ratings are assigned to loans with adequate collateral and debt service ability such that collectability of the contractual loan payments is highly probable.</w:t>
      </w:r>
    </w:p>
    <w:p>
      <w:pPr>
        <w:pStyle w:val="TextBody"/>
        <w:bidi w:val="0"/>
        <w:spacing w:before="0" w:after="240"/>
        <w:ind w:left="0" w:right="0" w:firstLine="360"/>
        <w:jc w:val="left"/>
        <w:rPr/>
      </w:pPr>
      <w:r>
        <w:rPr/>
        <w:t>“</w:t>
      </w:r>
      <w:r>
        <w:rPr>
          <w:rFonts w:ascii="Times New Roman;Times;serif" w:hAnsi="Times New Roman;Times;serif"/>
          <w:sz w:val="20"/>
        </w:rPr>
        <w:t>Watch / special mention” ratings are assigned to loans where management has some concern that the collateral or debt service ability may not be adequate, though the collectability of the contractual loan payments is still probable.</w:t>
      </w:r>
    </w:p>
    <w:p>
      <w:pPr>
        <w:pStyle w:val="TextBody"/>
        <w:bidi w:val="0"/>
        <w:spacing w:before="0" w:after="240"/>
        <w:ind w:left="0" w:right="0" w:firstLine="360"/>
        <w:jc w:val="left"/>
        <w:rPr/>
      </w:pPr>
      <w:r>
        <w:rPr/>
        <w:t>“</w:t>
      </w:r>
      <w:r>
        <w:rPr>
          <w:rFonts w:ascii="Times New Roman;Times;serif" w:hAnsi="Times New Roman;Times;serif"/>
          <w:sz w:val="20"/>
        </w:rPr>
        <w:t>Substandard” ratings are assigned to loans that do not have adequate collateral and/or debt service ability such that collectability of the contractual loan payments is no longer probable.</w:t>
      </w:r>
    </w:p>
    <w:p>
      <w:pPr>
        <w:pStyle w:val="TextBody"/>
        <w:bidi w:val="0"/>
        <w:spacing w:before="0" w:after="240"/>
        <w:ind w:left="0" w:right="0" w:firstLine="360"/>
        <w:jc w:val="left"/>
        <w:rPr/>
      </w:pPr>
      <w:r>
        <w:rPr/>
        <w:t>“</w:t>
      </w:r>
      <w:r>
        <w:rPr>
          <w:rFonts w:ascii="Times New Roman;Times;serif" w:hAnsi="Times New Roman;Times;serif"/>
          <w:sz w:val="20"/>
        </w:rPr>
        <w:t>Doubtful” ratings are assigned to loans that do not have adequate collateral and/or debt service ability, and collectability of the contractual loan payments is unlikely.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and based on the most recent analysis performed, the aggregate dollar amount of loans segmented by risk category (and by class of loan and year of origination) is as follows (in thousands):</w:t>
      </w:r>
    </w:p>
    <w:tbl>
      <w:tblPr>
        <w:tblW w:w="10205" w:type="dxa"/>
        <w:jc w:val="left"/>
        <w:tblInd w:w="0" w:type="dxa"/>
        <w:tblLayout w:type="fixed"/>
        <w:tblCellMar>
          <w:top w:w="0" w:type="dxa"/>
          <w:left w:w="0" w:type="dxa"/>
          <w:bottom w:w="0" w:type="dxa"/>
          <w:right w:w="0" w:type="dxa"/>
        </w:tblCellMar>
      </w:tblPr>
      <w:tblGrid>
        <w:gridCol w:w="1677"/>
        <w:gridCol w:w="346"/>
        <w:gridCol w:w="181"/>
        <w:gridCol w:w="511"/>
        <w:gridCol w:w="346"/>
        <w:gridCol w:w="181"/>
        <w:gridCol w:w="511"/>
        <w:gridCol w:w="346"/>
        <w:gridCol w:w="181"/>
        <w:gridCol w:w="511"/>
        <w:gridCol w:w="346"/>
        <w:gridCol w:w="181"/>
        <w:gridCol w:w="511"/>
        <w:gridCol w:w="346"/>
        <w:gridCol w:w="181"/>
        <w:gridCol w:w="436"/>
        <w:gridCol w:w="346"/>
        <w:gridCol w:w="181"/>
        <w:gridCol w:w="511"/>
        <w:gridCol w:w="346"/>
        <w:gridCol w:w="242"/>
        <w:gridCol w:w="584"/>
        <w:gridCol w:w="346"/>
        <w:gridCol w:w="181"/>
        <w:gridCol w:w="676"/>
      </w:tblGrid>
      <w:tr>
        <w:trPr/>
        <w:tc>
          <w:tcPr>
            <w:tcW w:w="1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064895" cy="175260"/>
                      <wp:effectExtent l="0" t="0" r="0" b="0"/>
                      <wp:wrapNone/>
                      <wp:docPr id="184" name="Frame183"/>
                      <a:graphic xmlns:a="http://schemas.openxmlformats.org/drawingml/2006/main">
                        <a:graphicData uri="http://schemas.microsoft.com/office/word/2010/wordprocessingShape">
                          <wps:wsp>
                            <wps:cNvSpPr txBox="1"/>
                            <wps:spPr>
                              <a:xfrm>
                                <a:off x="0" y="0"/>
                                <a:ext cx="1064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4935" cy="175260"/>
                      <wp:effectExtent l="0" t="0" r="0" b="0"/>
                      <wp:wrapNone/>
                      <wp:docPr id="186" name="Frame1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24485" cy="175260"/>
                      <wp:effectExtent l="0" t="0" r="0" b="0"/>
                      <wp:wrapNone/>
                      <wp:docPr id="187" name="Frame18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4935" cy="175260"/>
                      <wp:effectExtent l="0" t="0" r="0" b="0"/>
                      <wp:wrapNone/>
                      <wp:docPr id="189" name="Frame1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4485" cy="175260"/>
                      <wp:effectExtent l="0" t="0" r="0" b="0"/>
                      <wp:wrapNone/>
                      <wp:docPr id="190" name="Frame18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14935" cy="175260"/>
                      <wp:effectExtent l="0" t="0" r="0" b="0"/>
                      <wp:wrapNone/>
                      <wp:docPr id="192" name="Frame1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24485" cy="175260"/>
                      <wp:effectExtent l="0" t="0" r="0" b="0"/>
                      <wp:wrapNone/>
                      <wp:docPr id="193" name="Frame19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4935" cy="175260"/>
                      <wp:effectExtent l="0" t="0" r="0" b="0"/>
                      <wp:wrapNone/>
                      <wp:docPr id="195" name="Frame1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24485" cy="175260"/>
                      <wp:effectExtent l="0" t="0" r="0" b="0"/>
                      <wp:wrapNone/>
                      <wp:docPr id="196" name="Frame19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14935" cy="175260"/>
                      <wp:effectExtent l="0" t="0" r="0" b="0"/>
                      <wp:wrapNone/>
                      <wp:docPr id="198" name="Frame1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76860" cy="175260"/>
                      <wp:effectExtent l="0" t="0" r="0" b="0"/>
                      <wp:wrapNone/>
                      <wp:docPr id="199" name="Frame19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4935" cy="175260"/>
                      <wp:effectExtent l="0" t="0" r="0" b="0"/>
                      <wp:wrapNone/>
                      <wp:docPr id="201" name="Frame2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24485" cy="175260"/>
                      <wp:effectExtent l="0" t="0" r="0" b="0"/>
                      <wp:wrapNone/>
                      <wp:docPr id="202" name="Frame20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3670" cy="175260"/>
                      <wp:effectExtent l="0" t="0" r="0" b="0"/>
                      <wp:wrapNone/>
                      <wp:docPr id="204" name="Frame20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0840" cy="175260"/>
                      <wp:effectExtent l="0" t="0" r="0" b="0"/>
                      <wp:wrapNone/>
                      <wp:docPr id="205" name="Frame204"/>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4935" cy="175260"/>
                      <wp:effectExtent l="0" t="0" r="0" b="0"/>
                      <wp:wrapNone/>
                      <wp:docPr id="207" name="Frame2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46" w:type="dxa"/>
            <w:tcBorders/>
            <w:vAlign w:val="center"/>
          </w:tcPr>
          <w:p>
            <w:pPr>
              <w:pStyle w:val="TableContents"/>
              <w:bidi w:val="0"/>
              <w:spacing w:before="0" w:after="0"/>
              <w:ind w:left="0" w:right="0" w:hanging="0"/>
              <w:jc w:val="center"/>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6,613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74,666</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94,155</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5,489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5,489</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6,511</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24,548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12,364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49,556</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19,308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25,306</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89,500</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14,949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17,971</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76,230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47,486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33,983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6,633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80,166</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288,909</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Special Mention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1,386</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1,781</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81,796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292,152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86" w:name="Tc_Ofgys1-a_kS-IXhgKiKMMQ_22_24"/>
      <w:bookmarkStart w:id="1287" w:name="Tc_Hc8v2mSd7UCiPvmAtR3l7g_22_23"/>
      <w:bookmarkStart w:id="1288" w:name="Tc_F0aJ4Wb7aky5vKpmuiuLag_22_21"/>
      <w:bookmarkStart w:id="1289" w:name="Tc_C7DgkZiPo0y8i1N2RU5RqA_22_20"/>
      <w:bookmarkStart w:id="1290" w:name="Tc_h-FOXNYSCEO_IKOMW4JkWg_22_18"/>
      <w:bookmarkStart w:id="1291" w:name="Tc_GxmVUTOKNk621mvXz2bykw_22_17"/>
      <w:bookmarkStart w:id="1292" w:name="Tc_OdAxcYtFN0WLthXvWjYO3Q_22_15"/>
      <w:bookmarkStart w:id="1293" w:name="Tc_KOtfigpkU0qUgZO33YTdeA_22_14"/>
      <w:bookmarkStart w:id="1294" w:name="Tc_9GpsO3TeXkG0w1pZMLugdA_22_12"/>
      <w:bookmarkStart w:id="1295" w:name="Tc_iqJNUFNGrUq09rTnKW3DNA_22_11"/>
      <w:bookmarkStart w:id="1296" w:name="Tc_24jaF69KL0yIuFoCJtya0w_22_9"/>
      <w:bookmarkStart w:id="1297" w:name="Tc_ul-42NmAjkiDrEhjVrAqYg_22_8"/>
      <w:bookmarkStart w:id="1298" w:name="Tc_fO6-S3uCsUWbREynI1niHg_22_6"/>
      <w:bookmarkStart w:id="1299" w:name="Tc_J02Rv48JWk2EjjNbLzp4Ew_22_5"/>
      <w:bookmarkStart w:id="1300" w:name="Tc_KJ1mnohnmkO6B6PAk6c4aQ_22_3"/>
      <w:bookmarkStart w:id="1301" w:name="Tc_0ypcyHUbpk-q8AQn8EIRig_22_2"/>
      <w:bookmarkStart w:id="1302" w:name="Tc_aj5DByR7WkO6t79PI1rCKw_22_0"/>
      <w:bookmarkStart w:id="1303" w:name="Tc_5r0cqh09Ck2YXaKblHgzBw_21_24"/>
      <w:bookmarkStart w:id="1304" w:name="Tc_sVCHPrGc4kyt5E2d-xxySw_21_21"/>
      <w:bookmarkStart w:id="1305" w:name="Tc_WDhepeXPQEamCvJwpdYNlw_21_18"/>
      <w:bookmarkStart w:id="1306" w:name="Tc_GaNVgf_-tEayAglLN49PPA_21_15"/>
      <w:bookmarkStart w:id="1307" w:name="Tc_AZkE2Fj2V063xT5Dyv5Q_g_21_12"/>
      <w:bookmarkStart w:id="1308" w:name="Tc_zprg0bmbWkm1G4tQtbC74w_21_9"/>
      <w:bookmarkStart w:id="1309" w:name="Tc_I_67rVJ97Eiky6IAFhhtyg_21_6"/>
      <w:bookmarkStart w:id="1310" w:name="Tc_KSdISmgQkUqeUMvza3jKhw_21_3"/>
      <w:bookmarkStart w:id="1311" w:name="Tc_hzojP1f5J067jSR8vC_C8w_21_0"/>
      <w:bookmarkStart w:id="1312" w:name="Tc_aEkxBkaWfUuQoAkX2wwc_w_20_24"/>
      <w:bookmarkStart w:id="1313" w:name="Tc_RcwnVWY5ME2u79B0JDU-Ww_20_21"/>
      <w:bookmarkStart w:id="1314" w:name="Tc_y2mNTSQTLEmGKSMQCDHI3Q_20_18"/>
      <w:bookmarkStart w:id="1315" w:name="Tc_4tFhYFZIFEiNFaHCcu8p6g_20_15"/>
      <w:bookmarkStart w:id="1316" w:name="Tc_rQQ-swYlLUehAqIaTwaKWQ_20_12"/>
      <w:bookmarkStart w:id="1317" w:name="Tc_47wHQ0WBtkaMiFu-_wsIaQ_20_9"/>
      <w:bookmarkStart w:id="1318" w:name="Tc_IPuPBBBGfkqhp4EOfjXGgQ_20_6"/>
      <w:bookmarkStart w:id="1319" w:name="Tc_qnfdZH0w3UejVl0Y4kO4cA_20_3"/>
      <w:bookmarkStart w:id="1320" w:name="Tc_UW5FOe-bokaNOc-ypqLIJw_20_0"/>
      <w:bookmarkStart w:id="1321" w:name="Tc_-U01tVbReUicjZRntZz1_Q_19_24"/>
      <w:bookmarkStart w:id="1322" w:name="Tc_HFkmjOftOE-4cUyjO3pmQw_19_21"/>
      <w:bookmarkStart w:id="1323" w:name="Tc_oXEYtnYtgUOsHnDHjAPXjw_19_18"/>
      <w:bookmarkStart w:id="1324" w:name="Tc_V7aKDGLH0k6jHsPxetS-Aw_19_15"/>
      <w:bookmarkStart w:id="1325" w:name="Tc_7YvCJG6-1UC9ztXgYxiIOg_19_12"/>
      <w:bookmarkStart w:id="1326" w:name="Tc_Jls_teI9-EGBuFZDXO5o-Q_19_9"/>
      <w:bookmarkStart w:id="1327" w:name="Tc_B1RhBwoygU-uVpxQkaqu3Q_19_6"/>
      <w:bookmarkStart w:id="1328" w:name="Tc_lXHvGkXd102T6EMHbKO0Og_19_3"/>
      <w:bookmarkStart w:id="1329" w:name="Tc_SNzNcSxZZE6fIDXvuWHQDw_19_0"/>
      <w:bookmarkStart w:id="1330" w:name="Tc_j8Q3gVtE4UimPaPWI5GxZw_18_24"/>
      <w:bookmarkStart w:id="1331" w:name="Tc_K-kGwvOmi0G7k8QsPbVfhA_18_21"/>
      <w:bookmarkStart w:id="1332" w:name="Tc_jrGtdcsOFUOjsFesC3BvEA_18_18"/>
      <w:bookmarkStart w:id="1333" w:name="Tc_OA1L2DcqKUaWDX1beswDUg_18_15"/>
      <w:bookmarkStart w:id="1334" w:name="Tc_nCcSKe_mZkGUdKXcsAqYkA_18_12"/>
      <w:bookmarkStart w:id="1335" w:name="Tc_I7FHi5pE20e5e_mX69b7Ow_18_9"/>
      <w:bookmarkStart w:id="1336" w:name="Tc__hcFUJpLtkm-6aT53jgicw_18_6"/>
      <w:bookmarkStart w:id="1337" w:name="Tc_x2piDhb-S0q6pMvWS_R7Og_18_3"/>
      <w:bookmarkStart w:id="1338" w:name="Tc_eOsB4-U4Bkqy5TrA5XgH4A_18_0"/>
      <w:bookmarkStart w:id="1339" w:name="Tc_PG16oYARu0ii48VELWASFw_17_24"/>
      <w:bookmarkStart w:id="1340" w:name="Tc_yqmi3CNGVU6iie5-dbUR4w_17_21"/>
      <w:bookmarkStart w:id="1341" w:name="Tc_2KA_Z_qm2UaNsV-2Co8y7A_17_18"/>
      <w:bookmarkStart w:id="1342" w:name="Tc_YYx1hXg6x0KFVI38T5quXg_17_15"/>
      <w:bookmarkStart w:id="1343" w:name="Tc_R-6HZncEIUi_C1jQLOqzXA_17_12"/>
      <w:bookmarkStart w:id="1344" w:name="Tc_aj82ylQmIEuhGgWIjESkLQ_17_9"/>
      <w:bookmarkStart w:id="1345" w:name="Tc_d8SByKx4vUOppswliUTOew_17_6"/>
      <w:bookmarkStart w:id="1346" w:name="Tc_NY4dMw7xikWKJdqmgEBcKA_17_3"/>
      <w:bookmarkStart w:id="1347" w:name="Tc_IYzvkA5r8E6lsbuF4nV7qg_17_0"/>
      <w:bookmarkStart w:id="1348" w:name="Tc_7dlEv-cOU0WVRKeyDbYzwg_16_24"/>
      <w:bookmarkStart w:id="1349" w:name="Tc_eFR3bgoxUEeQ88oUrxwsUw_16_21"/>
      <w:bookmarkStart w:id="1350" w:name="Tc_J87lY08y-US-oBL32D9sVw_16_18"/>
      <w:bookmarkStart w:id="1351" w:name="Tc__j2hjwVjZka3RG-uSWlvgg_16_15"/>
      <w:bookmarkStart w:id="1352" w:name="Tc_PzLeNILoVkWFGFpHsRqnSA_16_12"/>
      <w:bookmarkStart w:id="1353" w:name="Tc_3ircYkZLD0-Cb7KZgV17jw_16_9"/>
      <w:bookmarkStart w:id="1354" w:name="Tc_ktTUBt1qjUq_G6kuZJG7vA_16_6"/>
      <w:bookmarkStart w:id="1355" w:name="Tc_kpzX8bkJc02QR_hTN_Xc-w_16_3"/>
      <w:bookmarkStart w:id="1356" w:name="Tc_V5H2Ng9ZYUyWip4RaeFQBA_16_0"/>
      <w:bookmarkStart w:id="1357" w:name="Tc_fePwE0E_MU2bgmkPBirwWQ_15_24"/>
      <w:bookmarkStart w:id="1358" w:name="Tc_iBKA8-qP4EmWKaD9sJa08Q_15_21"/>
      <w:bookmarkStart w:id="1359" w:name="Tc_Clsp32sKT0Cd1_ohZrinMw_15_18"/>
      <w:bookmarkStart w:id="1360" w:name="Tc_3HvNIYIJqUG5jwKS4NMUbQ_15_15"/>
      <w:bookmarkStart w:id="1361" w:name="Tc_OR_KgIG8OkK3Id470PsKRA_15_12"/>
      <w:bookmarkStart w:id="1362" w:name="Tc_NzCxo61ps0-F1L_Vn35aLg_15_9"/>
      <w:bookmarkStart w:id="1363" w:name="Tc_dzkVyLchA0uJCa8ZIJysVg_15_6"/>
      <w:bookmarkStart w:id="1364" w:name="Tc_X-oSiCCP90q3sOdeFM_m3Q_15_3"/>
      <w:bookmarkStart w:id="1365" w:name="Tc_jFS5ZU7ja0Ov2wRibdb8dg_15_0"/>
      <w:bookmarkStart w:id="1366" w:name="Tc_Ck0LRSZ23kmrURpg9aFvtg_14_24"/>
      <w:bookmarkStart w:id="1367" w:name="Tc_obh4wa1ZzUa3TNKvASKdew_14_23"/>
      <w:bookmarkStart w:id="1368" w:name="Tc_4ymzlC2Lo0OrgzWpJIC2Qw_14_21"/>
      <w:bookmarkStart w:id="1369" w:name="Tc_rzIsv6zKN0CRotdWLRqR1g_14_20"/>
      <w:bookmarkStart w:id="1370" w:name="Tc_eZLXnSoFsk6G69bIQx3lqQ_14_18"/>
      <w:bookmarkStart w:id="1371" w:name="Tc_CteLSH_OO0aGfBLn6lyNFg_14_17"/>
      <w:bookmarkStart w:id="1372" w:name="Tc_Dcp4nsAV2kmxB-MYGrkWoQ_14_15"/>
      <w:bookmarkStart w:id="1373" w:name="Tc_m3IUMWkTSESz9XOAU996jA_14_14"/>
      <w:bookmarkStart w:id="1374" w:name="Tc_I0LYdKY-fk-pLTo9WPoi5Q_14_12"/>
      <w:bookmarkStart w:id="1375" w:name="Tc_8PlKJIMPlEmcKEQPEMtqNg_14_11"/>
      <w:bookmarkStart w:id="1376" w:name="Tc_EQIVp7-pnEa22EIBc2OmIw_14_9"/>
      <w:bookmarkStart w:id="1377" w:name="Tc_M0nHFl9a-ECxv8kIwt6dRA_14_8"/>
      <w:bookmarkStart w:id="1378" w:name="Tc_vtWE83Kl406xDlG7VByVsw_14_6"/>
      <w:bookmarkStart w:id="1379" w:name="Tc_nPGCma5rVkuNp8o1q2NS1Q_14_5"/>
      <w:bookmarkStart w:id="1380" w:name="Tc_scCC5k23-kq6hgzhBqWGKQ_14_3"/>
      <w:bookmarkStart w:id="1381" w:name="Tc_ddLwC2OEEUyg4lk5D6l48g_14_2"/>
      <w:bookmarkStart w:id="1382" w:name="Tc_geQTTX61-UWYNOpXL51lJQ_14_0"/>
      <w:bookmarkStart w:id="1383" w:name="Tc_VG9_tzCJGkSmDvoqyeTJ_Q_13_0"/>
      <w:bookmarkStart w:id="1384" w:name="Tc_nfAbwNswQ0-bn-4WovmKWw_11_24"/>
      <w:bookmarkStart w:id="1385" w:name="Tc_rjYvQYBntEaF-ko3-9xYPA_11_23"/>
      <w:bookmarkStart w:id="1386" w:name="Tc_2twOO1ly2E-sUyq9-ulGZg_11_21"/>
      <w:bookmarkStart w:id="1387" w:name="Tc_d5_qDNm1-EC3T4VXME1ejw_11_20"/>
      <w:bookmarkStart w:id="1388" w:name="Tc_S20HmY3JAkGs_iNdf4ocFg_11_18"/>
      <w:bookmarkStart w:id="1389" w:name="Tc_4uQHVWCLoE-g_rHwD0pjCA_11_17"/>
      <w:bookmarkStart w:id="1390" w:name="Tc_dIFtTMctcEuway-guSm_VA_11_15"/>
      <w:bookmarkStart w:id="1391" w:name="Tc_iBko1hThXku7pyqCemNRxQ_11_14"/>
      <w:bookmarkStart w:id="1392" w:name="Tc_yRbSroxDtU2mUyCqhxavEA_11_12"/>
      <w:bookmarkStart w:id="1393" w:name="Tc_6bYy_jApQ0iON6kGmYS_wA_11_11"/>
      <w:bookmarkStart w:id="1394" w:name="Tc_agTtwmqRd0KdSMr7rKy0vQ_11_9"/>
      <w:bookmarkStart w:id="1395" w:name="Tc_DSghljznC0SGsftZHC7hoA_11_8"/>
      <w:bookmarkStart w:id="1396" w:name="Tc_LrscZIQ5vEqKzFJKq1GLYA_11_6"/>
      <w:bookmarkStart w:id="1397" w:name="Tc_PLYSKwcDMU6Axs1fMU29gQ_11_5"/>
      <w:bookmarkStart w:id="1398" w:name="Tc_oeGxkpt7OUejN01cW4Kl3w_11_3"/>
      <w:bookmarkStart w:id="1399" w:name="Tc_QXTMaXYwa0Kqq28cvZKulw_11_2"/>
      <w:bookmarkStart w:id="1400" w:name="Tc_pH48kbxVDEmAuUvypaCMfw_11_0"/>
      <w:bookmarkStart w:id="1401" w:name="Tc_UqoGm1dQwUi4MSj_KAyxMw_10_24"/>
      <w:bookmarkStart w:id="1402" w:name="Tc_g84SFRW4bk-AtaCkdk8rmQ_10_21"/>
      <w:bookmarkStart w:id="1403" w:name="Tc_xNaWQExUQUGMm3L4bddmFg_10_18"/>
      <w:bookmarkStart w:id="1404" w:name="Tc_sZAhN9zddE-THeXmqTh1Nw_10_15"/>
      <w:bookmarkStart w:id="1405" w:name="Tc_yOIp9_tiMU-6_Kj-ge63Ew_10_12"/>
      <w:bookmarkStart w:id="1406" w:name="Tc_lJKGi55slE6ipGerIgLZeA_10_9"/>
      <w:bookmarkStart w:id="1407" w:name="Tc_Gzzf-3T2qkanNn80zRD_rw_10_6"/>
      <w:bookmarkStart w:id="1408" w:name="Tc_c9UinA4EB0WaOs-_2RYl2w_10_3"/>
      <w:bookmarkStart w:id="1409" w:name="Tc_qRttDxDhhESENr9drfUuAQ_10_0"/>
      <w:bookmarkStart w:id="1410" w:name="Tc_cnJ8yl_SyU2KvNNt6-b0LA_9_24"/>
      <w:bookmarkStart w:id="1411" w:name="Tc_FwpH8g68g0KPTYnDnGgJjQ_9_21"/>
      <w:bookmarkStart w:id="1412" w:name="Tc_jOWKkSIDP0GGQnjBxXqhZA_9_18"/>
      <w:bookmarkStart w:id="1413" w:name="Tc_quhF2uTGMk64YHjw6TRKkw_9_15"/>
      <w:bookmarkStart w:id="1414" w:name="Tc_FqvecrpG20eMoBHYxIuH9Q_9_12"/>
      <w:bookmarkStart w:id="1415" w:name="Tc_jtnmRx7l_E6eFKmvSFUHNg_9_9"/>
      <w:bookmarkStart w:id="1416" w:name="Tc_ivQR1xlLiUisrWqHJBUfGQ_9_6"/>
      <w:bookmarkStart w:id="1417" w:name="Tc_r6MJW1R6wE-8E4sKWfgjOg_9_3"/>
      <w:bookmarkStart w:id="1418" w:name="Tc_pSRjIPGOO06bwk43KmtQUA_9_0"/>
      <w:bookmarkStart w:id="1419" w:name="Tc_XnpNIy-r10K1fvophTdkZQ_8_24"/>
      <w:bookmarkStart w:id="1420" w:name="Tc_6D8j0ngQhEKxki0HfFlzSQ_8_21"/>
      <w:bookmarkStart w:id="1421" w:name="Tc_mQijdyVpTE-rM44D-SXGfg_8_18"/>
      <w:bookmarkStart w:id="1422" w:name="Tc_CKzlE_lJaE2IzjYSmXmGhg_8_15"/>
      <w:bookmarkStart w:id="1423" w:name="Tc_ZdnmjofChkyh_67Y7MMnyg_8_12"/>
      <w:bookmarkStart w:id="1424" w:name="Tc_LkgTNPnooEGnGMr5FEvR1w_8_9"/>
      <w:bookmarkStart w:id="1425" w:name="Tc_tTWOO-o1h06bKk_BSvB0OA_8_6"/>
      <w:bookmarkStart w:id="1426" w:name="Tc_y2HqI9DaSkC2W0I9EK2gVA_8_3"/>
      <w:bookmarkStart w:id="1427" w:name="Tc_0a2KJoBWXUyVzNCiIuYDRw_8_0"/>
      <w:bookmarkStart w:id="1428" w:name="Tc_VAD7PTfyNEa47R9ZN8zTtA_7_24"/>
      <w:bookmarkStart w:id="1429" w:name="Tc_ELBkV_GGzE-JPVpv_vK7Qw_7_21"/>
      <w:bookmarkStart w:id="1430" w:name="Tc_nDHyfaHMk0aanom_3vBs-g_7_18"/>
      <w:bookmarkStart w:id="1431" w:name="Tc_Nc59yQzOJ0aWzDhSFbgkIA_7_15"/>
      <w:bookmarkStart w:id="1432" w:name="Tc_26R-pfvQe0-xwf-WeIhYVQ_7_12"/>
      <w:bookmarkStart w:id="1433" w:name="Tc_KzLI2OQCwUWLfEWRuFbxOg_7_9"/>
      <w:bookmarkStart w:id="1434" w:name="Tc_k-bVRihCfku5LIEJ918ODA_7_6"/>
      <w:bookmarkStart w:id="1435" w:name="Tc_t3yXr4dKq0CpZuiKjJRdEA_7_3"/>
      <w:bookmarkStart w:id="1436" w:name="Tc_zPnrl-wmW0qKN1oJv2-RBA_7_0"/>
      <w:bookmarkStart w:id="1437" w:name="Tc_cRm3ycc04E2UDN-r7_mWQA_6_24"/>
      <w:bookmarkStart w:id="1438" w:name="Tc_FBM0V3deH0ers1EjE9nsgQ_6_21"/>
      <w:bookmarkStart w:id="1439" w:name="Tc_O1Ys55CHqUCPjWh3-e1AHA_6_18"/>
      <w:bookmarkStart w:id="1440" w:name="Tc_kFDQTWzowEGyUOYGOTeXJw_6_15"/>
      <w:bookmarkStart w:id="1441" w:name="Tc_L2PeyjU6vkS1Iq1f0ojg2Q_6_12"/>
      <w:bookmarkStart w:id="1442" w:name="Tc_tUCFOti4l0iqXj5Gdf5_RA_6_9"/>
      <w:bookmarkStart w:id="1443" w:name="Tc_bdnp9QwFWEKv3EmcFXzvGA_6_6"/>
      <w:bookmarkStart w:id="1444" w:name="Tc_fZTablL_cUGYYWVCPVcGSA_6_3"/>
      <w:bookmarkStart w:id="1445" w:name="Tc_XJtybgsh_EGfsVcPf_x7Ww_6_0"/>
      <w:bookmarkStart w:id="1446" w:name="Tc_TQtDRa5Cj0S3fLtaaJwJ9g_5_24"/>
      <w:bookmarkStart w:id="1447" w:name="Tc_0gXrLUFE10-a2RzYWO1hhQ_5_21"/>
      <w:bookmarkStart w:id="1448" w:name="Tc__dHcOz8M-0Ch4FgXvfTfKw_5_18"/>
      <w:bookmarkStart w:id="1449" w:name="Tc_524VIUK00USTUZJe3kdAQw_5_15"/>
      <w:bookmarkStart w:id="1450" w:name="Tc_Djpgjz8MgkiiF0QqUXTIzA_5_12"/>
      <w:bookmarkStart w:id="1451" w:name="Tc_OoGTYIfeQ0aVKPSgNFFjeA_5_9"/>
      <w:bookmarkStart w:id="1452" w:name="Tc_f55xrlPKGkiwzLcKptjT-A_5_6"/>
      <w:bookmarkStart w:id="1453" w:name="Tc_n_S2rBN9e0q1ALUEz4dGIw_5_3"/>
      <w:bookmarkStart w:id="1454" w:name="Tc_KbSfd2pKq0u-2sDrS7tWxQ_5_0"/>
      <w:bookmarkStart w:id="1455" w:name="Tc_-Kqdqx5Y3UmAN4u0yAIuow_4_24"/>
      <w:bookmarkStart w:id="1456" w:name="Tc_y_SuUVZbM0eTHDW5pwA82Q_4_21"/>
      <w:bookmarkStart w:id="1457" w:name="Tc_A1FrArDPSUOdLekCUjTNzQ_4_18"/>
      <w:bookmarkStart w:id="1458" w:name="Tc_Jaouh9Yy5UW3HrWeo5oZqA_4_15"/>
      <w:bookmarkStart w:id="1459" w:name="Tc_y9CE-v2HVE6l6k71LaoqWA_4_12"/>
      <w:bookmarkStart w:id="1460" w:name="Tc_f3lRxMXnl0m4kcaxmBCI9g_4_9"/>
      <w:bookmarkStart w:id="1461" w:name="Tc_HRuKXQoPy0614CzlMAVGsA_4_6"/>
      <w:bookmarkStart w:id="1462" w:name="Tc_49SzUfpCHkaVLlJnM7uTlg_4_3"/>
      <w:bookmarkStart w:id="1463" w:name="Tc_hbWFJaWR6USqoTAvHCsTAw_4_0"/>
      <w:bookmarkStart w:id="1464" w:name="Tc_D7ldJQ-5H065CudX0mB2iA_3_24"/>
      <w:bookmarkStart w:id="1465" w:name="Tc_Qk9gT7cLYkOc0KhHqrwH0g_3_23"/>
      <w:bookmarkStart w:id="1466" w:name="Tc_-BbS9L5caUqfhllD6mNY4Q_3_21"/>
      <w:bookmarkStart w:id="1467" w:name="Tc_H9yFOUaGykmnwEcXrZ68kg_3_20"/>
      <w:bookmarkStart w:id="1468" w:name="Tc_QunE5_8VBk6gh6bagwCWkA_3_18"/>
      <w:bookmarkStart w:id="1469" w:name="Tc_U_iiCLBlmEOgyYzBzqGkSA_3_17"/>
      <w:bookmarkStart w:id="1470" w:name="Tc_7bvybWhaAkOTJnba60JkcQ_3_15"/>
      <w:bookmarkStart w:id="1471" w:name="Tc_oKA5iSoIcUCxg2uDbKyOIQ_3_14"/>
      <w:bookmarkStart w:id="1472" w:name="Tc_VH75mFG6JEapvR9Z7u1TUQ_3_12"/>
      <w:bookmarkStart w:id="1473" w:name="Tc_0S5bPjYIbESU41b46zjwtA_3_11"/>
      <w:bookmarkStart w:id="1474" w:name="Tc_YKvN1d-Y7k2gVrStRaPEuA_3_9"/>
      <w:bookmarkStart w:id="1475" w:name="Tc_3hHMKh97L0ayh-VM2balgg_3_8"/>
      <w:bookmarkStart w:id="1476" w:name="Tc_1A2Poi251U2rVDCC1fD-CA_3_6"/>
      <w:bookmarkStart w:id="1477" w:name="Tc_-e-CTUX8nUWqmW9EElZIxg_3_5"/>
      <w:bookmarkStart w:id="1478" w:name="Tc_N_NHV8xkcUKqBryvYvJNgA_3_3"/>
      <w:bookmarkStart w:id="1479" w:name="Tc_aSwjU3ZEMkupDSEd9E6Kug_3_2"/>
      <w:bookmarkStart w:id="1480" w:name="Tc_0vfIIjUiRUe8UVhTEOcuUg_3_0"/>
      <w:bookmarkStart w:id="1481" w:name="Tc_2JgqwaSsz0Sf-2uqhD34Lg_2_0"/>
      <w:bookmarkStart w:id="1482" w:name="Tc_woxFiEAH_EGI0Ughe9RmIQ_1_23"/>
      <w:bookmarkStart w:id="1483" w:name="Tc_nizYSXV2AU6FrTQFuRjaMQ_1_20"/>
      <w:bookmarkStart w:id="1484" w:name="Tc_r36n5AwDgEWnH1GxlFRJFg_1_17"/>
      <w:bookmarkStart w:id="1485" w:name="Tc_-ngzAaMZsEiX5yM7726T5w_1_14"/>
      <w:bookmarkStart w:id="1486" w:name="Tc_Tj2hY8zQrkS8qLLzptRMwQ_1_11"/>
      <w:bookmarkStart w:id="1487" w:name="Tc_-pCev_C_W0a8h9ZpP7a06w_1_8"/>
      <w:bookmarkStart w:id="1488" w:name="Tc_knUiLMUOQEGapuXGkUywKA_1_5"/>
      <w:bookmarkStart w:id="1489" w:name="Tc_jvNDmEr_YEynYvfWxgVjMg_1_2"/>
      <w:bookmarkStart w:id="1490" w:name="_da267638_52f3_4825_9d6b_a5676c74ecf4"/>
      <w:bookmarkStart w:id="1491" w:name="Tc_j2Za00RTEU2UIm1ZG7raUg_32_23"/>
      <w:bookmarkStart w:id="1492" w:name="Tc_QhgiaRn0P0awHoyUzLccSg_32_20"/>
      <w:bookmarkStart w:id="1493" w:name="Tc_aWvB3dFsUEm9UT0UQWeraQ_32_17"/>
      <w:bookmarkStart w:id="1494" w:name="Tc_-GeyQB-RB0GdE2_4kv1uFQ_32_14"/>
      <w:bookmarkStart w:id="1495" w:name="Tc_z2nVT1-eikSbWN1y1JY8rw_32_11"/>
      <w:bookmarkStart w:id="1496" w:name="Tc_Bv8aAtGSnkmYKnWvk9m9Wg_32_8"/>
      <w:bookmarkStart w:id="1497" w:name="Tc_Z1k4PL0P20Sq1CsLfih7XA_32_5"/>
      <w:bookmarkStart w:id="1498" w:name="Tc_EWKXuS58gk2n8kWCzAQLCQ_32_2"/>
      <w:bookmarkStart w:id="1499" w:name="Tc_KRWlaVECM02q7E8hYKHxlA_32_0"/>
      <w:bookmarkStart w:id="1500" w:name="Tc_k_0vIuEswE-gsYl8tibw7A_31_23"/>
      <w:bookmarkStart w:id="1501" w:name="Tc_RVpYjtIKqEe5WTB1_13PVg_31_21"/>
      <w:bookmarkStart w:id="1502" w:name="Tc__PeVJOOrAEWMXGiqSASbew_31_20"/>
      <w:bookmarkStart w:id="1503" w:name="Tc_Hxp_jmtG90WFYeiDesSq0A_31_17"/>
      <w:bookmarkStart w:id="1504" w:name="Tc_8yz6_VkliEuFzyL2jk_tWA_31_15"/>
      <w:bookmarkStart w:id="1505" w:name="Tc_lr1ijgXAjUW_8BRuhAIJEQ_31_14"/>
      <w:bookmarkStart w:id="1506" w:name="Tc_F2YD2UfpJkKoIXpduBf9eA_31_12"/>
      <w:bookmarkStart w:id="1507" w:name="Tc_rV57bC0lrkuUBbcnmR606A_31_11"/>
      <w:bookmarkStart w:id="1508" w:name="Tc_NOMy9wpC9UKbd5Dx3Y_v2A_31_9"/>
      <w:bookmarkStart w:id="1509" w:name="Tc_Xhz-KhBhBUiDYAEESyl9rA_31_8"/>
      <w:bookmarkStart w:id="1510" w:name="Tc_FAa002P_9UKEUr1SEui2jw_31_6"/>
      <w:bookmarkStart w:id="1511" w:name="Tc_Xlkq24DvWkCCbmQP8G5TsQ_31_5"/>
      <w:bookmarkStart w:id="1512" w:name="Tc_kYIScpOSP0SJY7tqT1dA8g_31_3"/>
      <w:bookmarkStart w:id="1513" w:name="Tc_AgXrWrIysUC6Bp-GlJ3BJA_31_2"/>
      <w:bookmarkStart w:id="1514" w:name="Tc_iJGl-mocO02BaLMuwbZuDg_31_0"/>
      <w:bookmarkStart w:id="1515" w:name="Tc_0_FqrowEkkGaVxSuPd-wFg_30_24"/>
      <w:bookmarkStart w:id="1516" w:name="Tc_ba_Uo1SZ1UyVa1zpwpsrGw_30_21"/>
      <w:bookmarkStart w:id="1517" w:name="Tc_TKawHUm9YkCTCpPE7a6JNw_30_18"/>
      <w:bookmarkStart w:id="1518" w:name="Tc_d9RP1aH8WkGMW5rFKOhjrw_30_15"/>
      <w:bookmarkStart w:id="1519" w:name="Tc_yqDAjKL6HkWXgfmroRibvQ_30_12"/>
      <w:bookmarkStart w:id="1520" w:name="Tc_G_Aqs5E4Lk6X3qLmszP0ag_30_9"/>
      <w:bookmarkStart w:id="1521" w:name="Tc_Ir1upAcirk2693MFgNwkcA_30_6"/>
      <w:bookmarkStart w:id="1522" w:name="Tc_yJqenxy3oEeYlx8G9qtCCg_30_3"/>
      <w:bookmarkStart w:id="1523" w:name="Tc_XgKLvwhj60efr_jwGAyDuA_30_0"/>
      <w:bookmarkStart w:id="1524" w:name="Tc__XUAIO3s5kaaV1e6pNm_Uw_29_24"/>
      <w:bookmarkStart w:id="1525" w:name="Tc_7pqJT2q5_US6OaaamLaUdw_29_21"/>
      <w:bookmarkStart w:id="1526" w:name="Tc_H7H11lg1yEyTMkkhTthqdQ_29_18"/>
      <w:bookmarkStart w:id="1527" w:name="Tc_pleAIcWCpUefXoeUgCPBGg_29_15"/>
      <w:bookmarkStart w:id="1528" w:name="Tc_7lHboJqn7UWjKivOU7hlAw_29_12"/>
      <w:bookmarkStart w:id="1529" w:name="Tc_BILAUPfX_E2dL9iko6b4Yw_29_9"/>
      <w:bookmarkStart w:id="1530" w:name="Tc_BZg2W0klTUWcI5W5YgSZIQ_29_6"/>
      <w:bookmarkStart w:id="1531" w:name="Tc_GH2ORXd6y0Cj3YCdRzOjMg_29_3"/>
      <w:bookmarkStart w:id="1532" w:name="Tc_mDtlxAyOoE2M7_UjCAC1vw_29_0"/>
      <w:bookmarkStart w:id="1533" w:name="Tc_MIIWEqEr90Cro7p1N0f0HA_28_24"/>
      <w:bookmarkStart w:id="1534" w:name="Tc_ZF3UdCgYj0uXQfrP89DBjQ_28_21"/>
      <w:bookmarkStart w:id="1535" w:name="Tc_Zcf-q-05kkubuFk3yomHng_28_18"/>
      <w:bookmarkStart w:id="1536" w:name="Tc_0Pg_yaOCoUKibiATCaWHeA_28_15"/>
      <w:bookmarkStart w:id="1537" w:name="Tc_-e9temPFg06omSxVGVicXQ_28_12"/>
      <w:bookmarkStart w:id="1538" w:name="Tc_5b-iAdG51k2ANRXNvGO2LQ_28_9"/>
      <w:bookmarkStart w:id="1539" w:name="Tc_L2iCFzP3WEWFEZct2Bs8Uw_28_6"/>
      <w:bookmarkStart w:id="1540" w:name="Tc_XJMXuDQNbUeV1ZhhWArlpw_28_3"/>
      <w:bookmarkStart w:id="1541" w:name="Tc_ufaKLrFczkGb4MhQyYGo9Q_28_0"/>
      <w:bookmarkStart w:id="1542" w:name="Tc_nF0lFAAJB0aOHvVHUq2jKg_27_24"/>
      <w:bookmarkStart w:id="1543" w:name="Tc_YsqMPUet-UyROLL0DbbKWw_27_21"/>
      <w:bookmarkStart w:id="1544" w:name="Tc_dMikq7ARLEmIa3XUpV4gPg_27_18"/>
      <w:bookmarkStart w:id="1545" w:name="Tc_mIYTUfPG10W0P2s1NjVLEg_27_15"/>
      <w:bookmarkStart w:id="1546" w:name="Tc_bSPReig_F0K0zJw4wBG9jw_27_12"/>
      <w:bookmarkStart w:id="1547" w:name="Tc_wPCbk8qtNEKX8NCxzKf_3A_27_9"/>
      <w:bookmarkStart w:id="1548" w:name="Tc_H_6jyfZkoU-EAPI_dUbCEw_27_6"/>
      <w:bookmarkStart w:id="1549" w:name="Tc_X26qU3WG1Eu5FAIIlQvEYg_27_3"/>
      <w:bookmarkStart w:id="1550" w:name="Tc_VnUlkySTZk6Cvlhw59aQbQ_27_0"/>
      <w:bookmarkStart w:id="1551" w:name="Tc_CuHW5OdlSEK3TP7b7csIyg_26_24"/>
      <w:bookmarkStart w:id="1552" w:name="Tc_6SuitCeS_UqYeEPXxoFSOA_26_21"/>
      <w:bookmarkStart w:id="1553" w:name="Tc_qnZm8UDL00S--ELvATkUBQ_26_18"/>
      <w:bookmarkStart w:id="1554" w:name="Tc_VomXWHe1BECPKW-4-MIHqw_26_15"/>
      <w:bookmarkStart w:id="1555" w:name="Tc_EsZ6942A10GhVB2Gqn1x3A_26_12"/>
      <w:bookmarkStart w:id="1556" w:name="Tc_uLh73rG210qNr0XR_AwfMw_26_9"/>
      <w:bookmarkStart w:id="1557" w:name="Tc_tyCpX6GtqkmzYlAq8AmyAQ_26_6"/>
      <w:bookmarkStart w:id="1558" w:name="Tc_ysPwUiXoq0OnXZV8_J6Nfw_26_3"/>
      <w:bookmarkStart w:id="1559" w:name="Tc_k89BoqD7BEu3BYwYHs9mmw_26_0"/>
      <w:bookmarkStart w:id="1560" w:name="Tc_iYPR2TRDGk2k-YBJKf6cIQ_25_24"/>
      <w:bookmarkStart w:id="1561" w:name="Tc_leyUYOQkpkmXhsZf9qE7Wg_25_21"/>
      <w:bookmarkStart w:id="1562" w:name="Tc_bU4o3202ck2Qhmxo3xwv4w_25_18"/>
      <w:bookmarkStart w:id="1563" w:name="Tc_K1Xo6eEBVUeO_br-4UdH6Q_25_15"/>
      <w:bookmarkStart w:id="1564" w:name="Tc_BbJm2H-5sU2OVX01-au1DQ_25_12"/>
      <w:bookmarkStart w:id="1565" w:name="Tc_Ol8e7qxdkkuOa8Trh7TBdA_25_9"/>
      <w:bookmarkStart w:id="1566" w:name="Tc_I9hUcvb3sUm-mm4eUS2j0A_25_6"/>
      <w:bookmarkStart w:id="1567" w:name="Tc_IIXoAfd0SEOYrVNpqBy_qw_25_3"/>
      <w:bookmarkStart w:id="1568" w:name="Tc_JVBUaE2EmUCrtO6zLlhD_A_25_0"/>
      <w:bookmarkStart w:id="1569" w:name="Tc_gq39Yewrz0Oe6KxMS5qikw_24_24"/>
      <w:bookmarkStart w:id="1570" w:name="Tc_kSkqyAq5R023SQLakL2ajg_24_21"/>
      <w:bookmarkStart w:id="1571" w:name="Tc_aik-9salpEq5zlq57Bk79g_24_18"/>
      <w:bookmarkStart w:id="1572" w:name="Tc_e7dq7JZ3g0yL5h1VMZeVxw_24_15"/>
      <w:bookmarkStart w:id="1573" w:name="Tc_GHdGBmnW3EqIyGYxiSfcIg_24_12"/>
      <w:bookmarkStart w:id="1574" w:name="Tc_yjg_H7KXXkWRDazpUtU_Ig_24_9"/>
      <w:bookmarkStart w:id="1575" w:name="Tc_2q53DrlwU0OT5yN1qV1B6g_24_6"/>
      <w:bookmarkStart w:id="1576" w:name="Tc_eRgcLsDlVEuQrNUf1AunPg_24_3"/>
      <w:bookmarkStart w:id="1577" w:name="Tc_cPpm1XdUuUyHq9m498cp_w_24_0"/>
      <w:bookmarkStart w:id="1578" w:name="Tc_r_lG3GAdvkin1HmG3ab_Ng_23_21"/>
      <w:bookmarkStart w:id="1579" w:name="Tc_UZcmRhfgS0uNdJayhEoHPA_23_15"/>
      <w:bookmarkStart w:id="1580" w:name="Tc_lA4GkEvuwEus_QXzT-w1Ig_23_12"/>
      <w:bookmarkStart w:id="1581" w:name="Tc_ee2WXZfHX0uDY1q_36Ap3Q_23_9"/>
      <w:bookmarkStart w:id="1582" w:name="Tc_9BpZZOIA2kaJuh0CT0bhXQ_23_6"/>
      <w:bookmarkStart w:id="1583" w:name="Tc_6xsaJBCvNUStpjmbpeTKlw_23_3"/>
      <w:bookmarkStart w:id="1584" w:name="Tc_wenMpq4s90aPUSc2BSZ3qw_23_0"/>
      <w:bookmarkStart w:id="1585" w:name="Tc_l1rQarfeHU2WRrd9MYGH8g_22_0"/>
      <w:bookmarkStart w:id="1586" w:name="Tc_leccVlAGeUCUdSZiwxKbzA_21_23"/>
      <w:bookmarkStart w:id="1587" w:name="Tc_fXz5MUBECkW8-O1flFC-9g_21_21"/>
      <w:bookmarkStart w:id="1588" w:name="Tc_TaSq1q69IkG8rfOmWYJo7g_21_20"/>
      <w:bookmarkStart w:id="1589" w:name="Tc_1av84Yggr02vbug_xbV0_Q_21_17"/>
      <w:bookmarkStart w:id="1590" w:name="Tc_ArYm-xZR3UuTFWV8wgUpgw_21_14"/>
      <w:bookmarkStart w:id="1591" w:name="Tc_UBPo8j7TtUKXR2jfK7f0UQ_21_12"/>
      <w:bookmarkStart w:id="1592" w:name="Tc_yoTy4Eh4Dkmx0tj7XAo6vw_21_11"/>
      <w:bookmarkStart w:id="1593" w:name="Tc_jgjptxESp0a-lzv0TQhbbA_21_9"/>
      <w:bookmarkStart w:id="1594" w:name="Tc_U3ivX1pCmUGFfDMK0OVmMQ_21_8"/>
      <w:bookmarkStart w:id="1595" w:name="Tc_twl9WFOf_0GpfYuAkS28cg_21_5"/>
      <w:bookmarkStart w:id="1596" w:name="Tc_sr4QyhEZpUCHpWPcgI3crw_21_3"/>
      <w:bookmarkStart w:id="1597" w:name="Tc_jjS--Ou3MUKb5K5hFPlURw_21_2"/>
      <w:bookmarkStart w:id="1598" w:name="Tc_VNRYggOTvk6wHPWZLUcymQ_21_0"/>
      <w:bookmarkStart w:id="1599" w:name="Tc_QkEyqStHGUOuZayw0OyaAw_20_24"/>
      <w:bookmarkStart w:id="1600" w:name="Tc_B0Nx47pYeEyu3ILYvVA1TA_20_21"/>
      <w:bookmarkStart w:id="1601" w:name="Tc_9EN0cFkD30CbctTJG5eYzg_20_18"/>
      <w:bookmarkStart w:id="1602" w:name="Tc_Vh1EW7hOdE-HW5x-bn1HjA_20_15"/>
      <w:bookmarkStart w:id="1603" w:name="Tc_jzBO8P9W5k2Us255z0UC5w_20_12"/>
      <w:bookmarkStart w:id="1604" w:name="Tc_QT0jDqPWHU2rQcL9LN9c2Q_20_9"/>
      <w:bookmarkStart w:id="1605" w:name="Tc__Xe6xEkcGUqiyAH9YjwUqQ_20_6"/>
      <w:bookmarkStart w:id="1606" w:name="Tc_ux2wsUbgfEe9aZddzhnCaw_20_3"/>
      <w:bookmarkStart w:id="1607" w:name="Tc_L1T-PSPxJ0C8iJmRXO4phA_20_0"/>
      <w:bookmarkStart w:id="1608" w:name="Tc_YW4Md_N95k-SmItECYr5SQ_19_21"/>
      <w:bookmarkStart w:id="1609" w:name="Tc_GV28A4oayk6j97bhNGaYzw_19_18"/>
      <w:bookmarkStart w:id="1610" w:name="Tc_qd1lK2ljz0uNbOnNuPCnXw_19_15"/>
      <w:bookmarkStart w:id="1611" w:name="Tc_NmmFRIfGK0umJAL6y6pWWg_19_12"/>
      <w:bookmarkStart w:id="1612" w:name="Tc_v3tBEyrzDkyH-IhugGOSXg_19_9"/>
      <w:bookmarkStart w:id="1613" w:name="Tc_rJQkljjyxUKpavc5aUli_Q_19_3"/>
      <w:bookmarkStart w:id="1614" w:name="Tc_Ii7ri_D0h02pLQvLPqi4bQ_19_0"/>
      <w:bookmarkStart w:id="1615" w:name="Tc_gxU0yNDBM0i7pDxPUi7psg_18_21"/>
      <w:bookmarkStart w:id="1616" w:name="Tc_Iz54nxAGeUujmGEp4OjZPg_18_18"/>
      <w:bookmarkStart w:id="1617" w:name="Tc_iyRwvr4_VkSG1KPVYOW5vw_18_15"/>
      <w:bookmarkStart w:id="1618" w:name="Tc_p7vuNK79HUehWn-kZIsO-g_18_12"/>
      <w:bookmarkStart w:id="1619" w:name="Tc_U2kg1G83RU6IlklQ-Z_t0w_18_9"/>
      <w:bookmarkStart w:id="1620" w:name="Tc_CYBlKDZ6a0KaBl7Bym5jxw_18_3"/>
      <w:bookmarkStart w:id="1621" w:name="Tc_IeNM7V2s-UePpEv-4QLl-Q_18_0"/>
      <w:bookmarkStart w:id="1622" w:name="Tc_HHCsK0L3pUeOMAleygJsdQ_17_24"/>
      <w:bookmarkStart w:id="1623" w:name="Tc__-Dmxfcz80KidbSsiUysuw_17_21"/>
      <w:bookmarkStart w:id="1624" w:name="Tc_2n4u8hEzmEStdcmQhdKYBA_17_18"/>
      <w:bookmarkStart w:id="1625" w:name="Tc_eYVPklJQcE-AOep1jvIMfg_17_15"/>
      <w:bookmarkStart w:id="1626" w:name="Tc_zlykwAFCoU6ZwyhdfsVoWA_17_12"/>
      <w:bookmarkStart w:id="1627" w:name="Tc_UDOrdZabmEG9AzHY5HSBsg_17_9"/>
      <w:bookmarkStart w:id="1628" w:name="Tc_EZ69OUMmdkWyQHylEnVVug_17_6"/>
      <w:bookmarkStart w:id="1629" w:name="Tc_oDlJxKRzkkKCoaDJj-W1qQ_17_3"/>
      <w:bookmarkStart w:id="1630" w:name="Tc_lARmAXby0E-tT5wwqNukQA_17_0"/>
      <w:bookmarkStart w:id="1631" w:name="Tc_cWi_u-s6CE-RVGzNV8MRLw_16_24"/>
      <w:bookmarkStart w:id="1632" w:name="Tc_jrCOLX_kYEipEX2uBtiEhw_16_21"/>
      <w:bookmarkStart w:id="1633" w:name="Tc_0TEsSbpSCEuz9mtdohxXQw_16_18"/>
      <w:bookmarkStart w:id="1634" w:name="Tc_yC-kuYskAkK0Tmiq3cSTLQ_16_15"/>
      <w:bookmarkStart w:id="1635" w:name="Tc_cj1sxMEsEEiZUlDZx4dhfw_16_12"/>
      <w:bookmarkStart w:id="1636" w:name="Tc_GGRg_QYalECVg24D55PW0Q_16_9"/>
      <w:bookmarkStart w:id="1637" w:name="Tc_MyIZNHgO7EOe-nzZvTbUzQ_16_6"/>
      <w:bookmarkStart w:id="1638" w:name="Tc_iQ3ZMNRZZUGVTonqgEwJew_16_3"/>
      <w:bookmarkStart w:id="1639" w:name="Tc_gxJYnNXQc0aWHNI3ghxgDw_16_0"/>
      <w:bookmarkStart w:id="1640" w:name="Tc_lK0foDxAWUykJ7VAQP1fIw_15_24"/>
      <w:bookmarkStart w:id="1641" w:name="Tc_xoOzuc1GMUqgsotuKAxqrw_15_21"/>
      <w:bookmarkStart w:id="1642" w:name="Tc_Q26LrDG-JUemM6E4okJciw_15_18"/>
      <w:bookmarkStart w:id="1643" w:name="Tc_TwCIWpdhBEu-aKfIAexgjg_15_15"/>
      <w:bookmarkStart w:id="1644" w:name="Tc_SZ3EdlRVQ0qkjWL_iBDHyA_15_12"/>
      <w:bookmarkStart w:id="1645" w:name="Tc_-UuJIH2eKE2BA1zafYEt1Q_15_9"/>
      <w:bookmarkStart w:id="1646" w:name="Tc_t9kCNd4z-Eu9_h4EYdYHMA_15_6"/>
      <w:bookmarkStart w:id="1647" w:name="Tc_qwsSR-hb40yLsZfSYon28g_15_3"/>
      <w:bookmarkStart w:id="1648" w:name="Tc_ahL6QGJ7fkava3Su4qrZFg_15_0"/>
      <w:bookmarkStart w:id="1649" w:name="Tc_u-EIl-MLIU2FoSPRjeXWJQ_14_24"/>
      <w:bookmarkStart w:id="1650" w:name="Tc_EWIbSjt-RE-dJOE8VB5CsQ_14_21"/>
      <w:bookmarkStart w:id="1651" w:name="Tc_Y2qI0HKnC0mqAf7vH-_-bg_14_18"/>
      <w:bookmarkStart w:id="1652" w:name="Tc_Ez2f1ZVgz028V55IHs4wCw_14_15"/>
      <w:bookmarkStart w:id="1653" w:name="Tc_jkewgUcLREaKF28IFHzKcg_14_12"/>
      <w:bookmarkStart w:id="1654" w:name="Tc_1WUijn2q2EmsrRznf2S7Kw_14_9"/>
      <w:bookmarkStart w:id="1655" w:name="Tc_TlmK39vESUG9YS1ohTNTmA_14_6"/>
      <w:bookmarkStart w:id="1656" w:name="Tc_26kuwBKaYUiibI5Q-XJ8Rg_14_3"/>
      <w:bookmarkStart w:id="1657" w:name="Tc_yp2MhtRrN0ubwce4GiNiQQ_14_0"/>
      <w:bookmarkStart w:id="1658" w:name="Tc_elJw_LOt5kObZrMPW3tdvA_13_21"/>
      <w:bookmarkStart w:id="1659" w:name="Tc_YtKpfkzx3ki5eks3qsQdig_13_12"/>
      <w:bookmarkStart w:id="1660" w:name="Tc_Ift_D3CYTkqb5ZU8f0TqcA_13_9"/>
      <w:bookmarkStart w:id="1661" w:name="Tc_8IS0xkMfqkqISAYX6eGOug_13_6"/>
      <w:bookmarkStart w:id="1662" w:name="Tc_RIRtdD-6vkOJq-VmrvndOQ_13_3"/>
      <w:bookmarkStart w:id="1663" w:name="Tc_DhsQSjB-PUiuwhhOvO8kTQ_13_0"/>
      <w:bookmarkStart w:id="1664" w:name="Tc_WYl7tp1fTkWybz4SN9VzXQ_12_0"/>
      <w:bookmarkStart w:id="1665" w:name="Tc_IjA3YHEbn0WjJ9aurOwjmA_11_23"/>
      <w:bookmarkStart w:id="1666" w:name="Tc_BjlHvQCGfE60JNBUt6fv7Q_11_20"/>
      <w:bookmarkStart w:id="1667" w:name="Tc_fMaxBOT41k6YNsmv8VXaGw_11_17"/>
      <w:bookmarkStart w:id="1668" w:name="Tc_DLAWzEgVvkKDTsix3x-yAw_11_14"/>
      <w:bookmarkStart w:id="1669" w:name="Tc_BLrC6CKjGkyX0eLy9rmNAw_11_11"/>
      <w:bookmarkStart w:id="1670" w:name="Tc_d-f0QNkMwUqINTjmr06aSQ_11_8"/>
      <w:bookmarkStart w:id="1671" w:name="Tc_4rzltMn70kqDOl4IUtQ2HA_11_5"/>
      <w:bookmarkStart w:id="1672" w:name="Tc_2e6VMONGx0Wm60Rbom0E2Q_11_2"/>
      <w:bookmarkStart w:id="1673" w:name="Tc_nxHVeXxxs0ezC7H5MLRauw_11_0"/>
      <w:bookmarkStart w:id="1674" w:name="Tc_HiWad_Z2MkKzLU_j16V87w_10_21"/>
      <w:bookmarkStart w:id="1675" w:name="Tc_YtmlP4RSfES0yT4IKfagZA_10_18"/>
      <w:bookmarkStart w:id="1676" w:name="Tc_5kDYzHxEfEirF-wiymJlxg_10_15"/>
      <w:bookmarkStart w:id="1677" w:name="Tc_dgoujkkX6U-Bnhe0tpEtmA_10_12"/>
      <w:bookmarkStart w:id="1678" w:name="Tc_f78UHm4peUeDK0s_3EmKIg_10_0"/>
      <w:bookmarkStart w:id="1679" w:name="Tc_mDYMejBnk0GSbih5m9cdRg_9_21"/>
      <w:bookmarkStart w:id="1680" w:name="Tc_BHJHTk_aukm9658dEz0dyg_9_18"/>
      <w:bookmarkStart w:id="1681" w:name="Tc_-O6Gdu7WuEm9-3VC4s7rxw_9_15"/>
      <w:bookmarkStart w:id="1682" w:name="Tc_cb_TVvBco0qdiHu5NBYGjw_9_12"/>
      <w:bookmarkStart w:id="1683" w:name="Tc_wtWqpKFjnUW3CDuIog2yhg_9_0"/>
      <w:bookmarkStart w:id="1684" w:name="Tc_SYoE2hPM4E2EfnguTbN4cg_8_21"/>
      <w:bookmarkStart w:id="1685" w:name="Tc_Nvpln7GlH0i-x0bHwCe3jQ_8_18"/>
      <w:bookmarkStart w:id="1686" w:name="Tc_H4oRz6ElVUi53d9CUMKrIw_8_15"/>
      <w:bookmarkStart w:id="1687" w:name="Tc_ucJkD42KAEyOxYjP-0B7dQ_8_12"/>
      <w:bookmarkStart w:id="1688" w:name="Tc_Ou9Zx8_SVUyeaS6Ssnwjcw_8_0"/>
      <w:bookmarkStart w:id="1689" w:name="Tc_lw-5dpWdp0WfwmpiJ3CC5g_7_21"/>
      <w:bookmarkStart w:id="1690" w:name="Tc_pCzhd25arEeixkjzOqvW2g_7_18"/>
      <w:bookmarkStart w:id="1691" w:name="Tc_uGOyNTuH4UqZCWj7Pg2dDw_7_15"/>
      <w:bookmarkStart w:id="1692" w:name="Tc_H3swpyk0-0SpoWM5mJafEQ_7_12"/>
      <w:bookmarkStart w:id="1693" w:name="Tc_Rg7HqylhFUaM8oYpxjOd1Q_7_0"/>
      <w:bookmarkStart w:id="1694" w:name="Tc_HrL9LFnFikKy9dTYi8F9Gw_6_18"/>
      <w:bookmarkStart w:id="1695" w:name="Tc_ikSv74uQNUKPByiCm68pFg_6_15"/>
      <w:bookmarkStart w:id="1696" w:name="Tc_cDykvphN302VXAnLVwY9hg_6_12"/>
      <w:bookmarkStart w:id="1697" w:name="Tc_65jvdVl6pkecyVPzlsaplQ_6_9"/>
      <w:bookmarkStart w:id="1698" w:name="Tc_rsbMsG92akqbWhhX5xhOcA_6_6"/>
      <w:bookmarkStart w:id="1699" w:name="Tc_5fIxTEdxsUekGYK4DUOBuA_6_3"/>
      <w:bookmarkStart w:id="1700" w:name="Tc_nydu3g30rU-yVDblgULguA_6_0"/>
      <w:bookmarkStart w:id="1701" w:name="Tc_EBF_CZp06ESJfDsJMVVh_g_5_21"/>
      <w:bookmarkStart w:id="1702" w:name="Tc_d3cxjfpz9kq4tDECnhBXyQ_5_15"/>
      <w:bookmarkStart w:id="1703" w:name="Tc_WtbIeroAPk69di7_fToRSg_5_6"/>
      <w:bookmarkStart w:id="1704" w:name="Tc_13jwlRfz0kSZqHKdEDKphw_5_0"/>
      <w:bookmarkStart w:id="1705" w:name="Tc_t9abWTC5jEexrCgmLRqAuA_4_21"/>
      <w:bookmarkStart w:id="1706" w:name="Tc_1pZkENFaAEe_fScKPRFtYQ_4_15"/>
      <w:bookmarkStart w:id="1707" w:name="Tc_XyD7JbYyVkSAIRiBWz6LSw_4_12"/>
      <w:bookmarkStart w:id="1708" w:name="Tc_sYknlX_Zx0eLiVxVnjSAtQ_4_9"/>
      <w:bookmarkStart w:id="1709" w:name="Tc_EOKO0ei73kuPnmiwUL1v8g_4_6"/>
      <w:bookmarkStart w:id="1710" w:name="Tc_ywiCPmD-ZkusX6zvmMi2MQ_4_3"/>
      <w:bookmarkStart w:id="1711" w:name="Tc_Ds_B_MWsRUa6VVXe4q9T0g_4_0"/>
      <w:bookmarkStart w:id="1712" w:name="Tc_9kVWB1Dz_k2mrwvdiSOGtg_3_23"/>
      <w:bookmarkStart w:id="1713" w:name="Tc_jg1ddXXSek2fZJfnU-BXWQ_3_21"/>
      <w:bookmarkStart w:id="1714" w:name="Tc_vR_wGEHGXEybl2fhWZWxMw_3_20"/>
      <w:bookmarkStart w:id="1715" w:name="Tc_T3YvUhSqlkqno-qj5ZNdgA_3_17"/>
      <w:bookmarkStart w:id="1716" w:name="Tc_OWmGX9g_iUWLYN8Bbc_kkg_3_14"/>
      <w:bookmarkStart w:id="1717" w:name="Tc_XFRgjrgA4UKHGuX9Jn_0Eg_3_11"/>
      <w:bookmarkStart w:id="1718" w:name="Tc_DmO_4vxA50GbCklf46JROQ_3_8"/>
      <w:bookmarkStart w:id="1719" w:name="Tc_Ax8bSj_pFkSqOduWXlNLTA_3_5"/>
      <w:bookmarkStart w:id="1720" w:name="Tc_bvq90LEcg0C5A9N9_VfJLA_3_2"/>
      <w:bookmarkStart w:id="1721" w:name="Tc_BlfbRa5LY0qFfbzMn2Ixwg_3_0"/>
      <w:bookmarkStart w:id="1722" w:name="Tc_ToKkfm1AyUqvoTNPLlrtQw_2_0"/>
      <w:bookmarkStart w:id="1723" w:name="Tc_gnG4Sp3B2E-wvirDP4nEIA_1_23"/>
      <w:bookmarkStart w:id="1724" w:name="Tc_G37mEJS9DkGEF-aFuTCTaw_1_20"/>
      <w:bookmarkStart w:id="1725" w:name="Tc_Xqler9J0_EeL0UprzeTaOQ_1_17"/>
      <w:bookmarkStart w:id="1726" w:name="Tc_fv0rR4MVuES3KzkzNSjVSw_1_14"/>
      <w:bookmarkStart w:id="1727" w:name="Tc_H7f2gzfmaEyh1hadQny5rA_1_11"/>
      <w:bookmarkStart w:id="1728" w:name="Tc_AJeyzTpjgkmz2dTLtQ-8jw_1_8"/>
      <w:bookmarkStart w:id="1729" w:name="Tc_RO2M6chtrkm4yNhMU6_Z6g_1_5"/>
      <w:bookmarkStart w:id="1730" w:name="Tc_92YZm6xsGEGlQu_fE1Fxlg_1_2"/>
      <w:bookmarkStart w:id="1731" w:name="Tc_5VkBsC1z9UWu4sT9ZhxsDA_1_0"/>
      <w:bookmarkStart w:id="1732" w:name="_8261bc2b_4e11_4498_8f3e_686743ea6d6f"/>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tbl>
      <w:tblPr>
        <w:tblW w:w="10205" w:type="dxa"/>
        <w:jc w:val="left"/>
        <w:tblInd w:w="0" w:type="dxa"/>
        <w:tblLayout w:type="fixed"/>
        <w:tblCellMar>
          <w:top w:w="0" w:type="dxa"/>
          <w:left w:w="0" w:type="dxa"/>
          <w:bottom w:w="0" w:type="dxa"/>
          <w:right w:w="0" w:type="dxa"/>
        </w:tblCellMar>
      </w:tblPr>
      <w:tblGrid>
        <w:gridCol w:w="1677"/>
        <w:gridCol w:w="346"/>
        <w:gridCol w:w="181"/>
        <w:gridCol w:w="511"/>
        <w:gridCol w:w="346"/>
        <w:gridCol w:w="181"/>
        <w:gridCol w:w="511"/>
        <w:gridCol w:w="346"/>
        <w:gridCol w:w="181"/>
        <w:gridCol w:w="511"/>
        <w:gridCol w:w="346"/>
        <w:gridCol w:w="181"/>
        <w:gridCol w:w="436"/>
        <w:gridCol w:w="346"/>
        <w:gridCol w:w="181"/>
        <w:gridCol w:w="511"/>
        <w:gridCol w:w="346"/>
        <w:gridCol w:w="181"/>
        <w:gridCol w:w="511"/>
        <w:gridCol w:w="346"/>
        <w:gridCol w:w="242"/>
        <w:gridCol w:w="584"/>
        <w:gridCol w:w="346"/>
        <w:gridCol w:w="181"/>
        <w:gridCol w:w="676"/>
      </w:tblGrid>
      <w:tr>
        <w:trPr/>
        <w:tc>
          <w:tcPr>
            <w:tcW w:w="1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064895" cy="175260"/>
                      <wp:effectExtent l="0" t="0" r="0" b="0"/>
                      <wp:wrapNone/>
                      <wp:docPr id="209" name="Frame208"/>
                      <a:graphic xmlns:a="http://schemas.openxmlformats.org/drawingml/2006/main">
                        <a:graphicData uri="http://schemas.microsoft.com/office/word/2010/wordprocessingShape">
                          <wps:wsp>
                            <wps:cNvSpPr txBox="1"/>
                            <wps:spPr>
                              <a:xfrm>
                                <a:off x="0" y="0"/>
                                <a:ext cx="1064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4935" cy="175260"/>
                      <wp:effectExtent l="0" t="0" r="0" b="0"/>
                      <wp:wrapNone/>
                      <wp:docPr id="211" name="Frame2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24485" cy="175260"/>
                      <wp:effectExtent l="0" t="0" r="0" b="0"/>
                      <wp:wrapNone/>
                      <wp:docPr id="212" name="Frame21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14935" cy="175260"/>
                      <wp:effectExtent l="0" t="0" r="0" b="0"/>
                      <wp:wrapNone/>
                      <wp:docPr id="214" name="Frame21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24485" cy="175260"/>
                      <wp:effectExtent l="0" t="0" r="0" b="0"/>
                      <wp:wrapNone/>
                      <wp:docPr id="215" name="Frame2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14935" cy="175260"/>
                      <wp:effectExtent l="0" t="0" r="0" b="0"/>
                      <wp:wrapNone/>
                      <wp:docPr id="217" name="Frame21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24485" cy="175260"/>
                      <wp:effectExtent l="0" t="0" r="0" b="0"/>
                      <wp:wrapNone/>
                      <wp:docPr id="218" name="Frame21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14935" cy="175260"/>
                      <wp:effectExtent l="0" t="0" r="0" b="0"/>
                      <wp:wrapNone/>
                      <wp:docPr id="220" name="Frame2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76860" cy="175260"/>
                      <wp:effectExtent l="0" t="0" r="0" b="0"/>
                      <wp:wrapNone/>
                      <wp:docPr id="221" name="Frame22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4935" cy="175260"/>
                      <wp:effectExtent l="0" t="0" r="0" b="0"/>
                      <wp:wrapNone/>
                      <wp:docPr id="223" name="Frame2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24485" cy="175260"/>
                      <wp:effectExtent l="0" t="0" r="0" b="0"/>
                      <wp:wrapNone/>
                      <wp:docPr id="224" name="Frame22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14935" cy="175260"/>
                      <wp:effectExtent l="0" t="0" r="0" b="0"/>
                      <wp:wrapNone/>
                      <wp:docPr id="226" name="Frame2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24485" cy="175260"/>
                      <wp:effectExtent l="0" t="0" r="0" b="0"/>
                      <wp:wrapNone/>
                      <wp:docPr id="227" name="Frame2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53670" cy="175260"/>
                      <wp:effectExtent l="0" t="0" r="0" b="0"/>
                      <wp:wrapNone/>
                      <wp:docPr id="229" name="Frame22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70840" cy="175260"/>
                      <wp:effectExtent l="0" t="0" r="0" b="0"/>
                      <wp:wrapNone/>
                      <wp:docPr id="230" name="Frame229"/>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4935" cy="175260"/>
                      <wp:effectExtent l="0" t="0" r="0" b="0"/>
                      <wp:wrapNone/>
                      <wp:docPr id="232" name="Frame2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9260" cy="175260"/>
                      <wp:effectExtent l="0" t="0" r="0" b="0"/>
                      <wp:wrapNone/>
                      <wp:docPr id="233" name="Frame2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46" w:type="dxa"/>
            <w:tcBorders/>
            <w:vAlign w:val="center"/>
          </w:tcPr>
          <w:p>
            <w:pPr>
              <w:pStyle w:val="TableContents"/>
              <w:bidi w:val="0"/>
              <w:spacing w:before="0" w:after="0"/>
              <w:ind w:left="0" w:right="0" w:hanging="0"/>
              <w:jc w:val="center"/>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24,385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63,877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107,137</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5,993</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457</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5,431</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12,573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46,124</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22,147</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29,650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34,162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76,108</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9,706</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64,264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66,405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35,701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7,030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24,385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69,887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273,103</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Special Mention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692</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1,022</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1,944</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43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84"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1,294</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7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1,294</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1,294</w:t>
            </w:r>
          </w:p>
        </w:tc>
      </w:tr>
      <w:tr>
        <w:trPr/>
        <w:tc>
          <w:tcPr>
            <w:tcW w:w="167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64,264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67,657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71,352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276,341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32"/>
        <w:gridCol w:w="346"/>
        <w:gridCol w:w="181"/>
        <w:gridCol w:w="346"/>
        <w:gridCol w:w="346"/>
        <w:gridCol w:w="181"/>
        <w:gridCol w:w="346"/>
        <w:gridCol w:w="346"/>
        <w:gridCol w:w="181"/>
        <w:gridCol w:w="346"/>
        <w:gridCol w:w="346"/>
        <w:gridCol w:w="181"/>
        <w:gridCol w:w="346"/>
        <w:gridCol w:w="346"/>
        <w:gridCol w:w="181"/>
        <w:gridCol w:w="346"/>
        <w:gridCol w:w="346"/>
        <w:gridCol w:w="181"/>
        <w:gridCol w:w="346"/>
        <w:gridCol w:w="346"/>
        <w:gridCol w:w="283"/>
        <w:gridCol w:w="543"/>
        <w:gridCol w:w="346"/>
        <w:gridCol w:w="181"/>
        <w:gridCol w:w="436"/>
      </w:tblGrid>
      <w:tr>
        <w:trPr/>
        <w:tc>
          <w:tcPr>
            <w:tcW w:w="2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98320" cy="175260"/>
                      <wp:effectExtent l="0" t="0" r="0" b="0"/>
                      <wp:wrapNone/>
                      <wp:docPr id="234" name="Frame233"/>
                      <a:graphic xmlns:a="http://schemas.openxmlformats.org/drawingml/2006/main">
                        <a:graphicData uri="http://schemas.microsoft.com/office/word/2010/wordprocessingShape">
                          <wps:wsp>
                            <wps:cNvSpPr txBox="1"/>
                            <wps:spPr>
                              <a:xfrm>
                                <a:off x="0" y="0"/>
                                <a:ext cx="179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4935" cy="175260"/>
                      <wp:effectExtent l="0" t="0" r="0" b="0"/>
                      <wp:wrapNone/>
                      <wp:docPr id="236" name="Frame2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4935" cy="175260"/>
                      <wp:effectExtent l="0" t="0" r="0" b="0"/>
                      <wp:wrapNone/>
                      <wp:docPr id="239" name="Frame2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14935" cy="175260"/>
                      <wp:effectExtent l="0" t="0" r="0" b="0"/>
                      <wp:wrapNone/>
                      <wp:docPr id="242" name="Frame2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4935" cy="175260"/>
                      <wp:effectExtent l="0" t="0" r="0" b="0"/>
                      <wp:wrapNone/>
                      <wp:docPr id="245" name="Frame2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14935" cy="175260"/>
                      <wp:effectExtent l="0" t="0" r="0" b="0"/>
                      <wp:wrapNone/>
                      <wp:docPr id="248" name="Frame2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14935" cy="175260"/>
                      <wp:effectExtent l="0" t="0" r="0" b="0"/>
                      <wp:wrapNone/>
                      <wp:docPr id="251" name="Frame2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9705" cy="175260"/>
                      <wp:effectExtent l="0" t="0" r="0" b="0"/>
                      <wp:wrapNone/>
                      <wp:docPr id="254" name="Frame25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44805" cy="175260"/>
                      <wp:effectExtent l="0" t="0" r="0" b="0"/>
                      <wp:wrapNone/>
                      <wp:docPr id="255" name="Frame25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14935" cy="175260"/>
                      <wp:effectExtent l="0" t="0" r="0" b="0"/>
                      <wp:wrapNone/>
                      <wp:docPr id="257" name="Frame2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76860" cy="175260"/>
                      <wp:effectExtent l="0" t="0" r="0" b="0"/>
                      <wp:wrapNone/>
                      <wp:docPr id="258" name="Frame25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46" w:type="dxa"/>
            <w:tcBorders/>
            <w:vAlign w:val="center"/>
          </w:tcPr>
          <w:p>
            <w:pPr>
              <w:pStyle w:val="TableContents"/>
              <w:bidi w:val="0"/>
              <w:spacing w:before="0" w:after="0"/>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gross write-offs for the six months ended June 30, 2025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gross write-offs for the six months ended June 30, 2026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One to four residential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r>
      <w:tr>
        <w:trPr/>
        <w:tc>
          <w:tcPr>
            <w:tcW w:w="28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3" w:name="Tc_8oKij6OmV0mebvedKq3ttQ_8_2"/>
      <w:bookmarkStart w:id="1734" w:name="Tc_QTy3yAroD0WzdHmT8A4gkA_7_0"/>
      <w:bookmarkStart w:id="1735" w:name="Tc_7j9CUrA4fUCpeMPAsHttWA_6_0"/>
      <w:bookmarkStart w:id="1736" w:name="Tc_4O-fUYzMyU2EiKvBVv2TIQ_5_0"/>
      <w:bookmarkStart w:id="1737" w:name="Tc_ys4FdCsVfEG0MJgjV5FCLA_4_0"/>
      <w:bookmarkStart w:id="1738" w:name="Tc_XqkL7bvmF0G-9KnRD5P7dw_3_2"/>
      <w:bookmarkStart w:id="1739" w:name="Tc_GyMuoe_4m0O9Dsg0v0Sj3w_3_0"/>
      <w:bookmarkStart w:id="1740" w:name="Tc_sr4C-BuVikCsgSB9m_QiDQ_2_2"/>
      <w:bookmarkStart w:id="1741" w:name="Tc_XHvoMzd8z0SXQj3qMp_tGQ_1_2"/>
      <w:bookmarkStart w:id="1742" w:name="_559d1673_5d94_4926_9276_7c6f55d898ae_3"/>
      <w:bookmarkStart w:id="1743" w:name="_559d1673_5d94_4926_9276_7c6f55d898ae_2"/>
      <w:bookmarkStart w:id="1744" w:name="_559d1673_5d94_4926_9276_7c6f55d898ae"/>
      <w:bookmarkStart w:id="1745" w:name="_fcce70a4_e2c9_4f20_9e6e_8ce6cb59d30a_3"/>
      <w:bookmarkStart w:id="1746" w:name="_fcce70a4_e2c9_4f20_9e6e_8ce6cb59d30a_2"/>
      <w:bookmarkStart w:id="1747" w:name="_fcce70a4_e2c9_4f20_9e6e_8ce6cb59d30a"/>
      <w:bookmarkStart w:id="1748" w:name="Tc_53IeevemzU29tFwV-DBAGg_9_5"/>
      <w:bookmarkStart w:id="1749" w:name="Tc_v5fn_-o3H0u2W2awOR4fhg_9_2"/>
      <w:bookmarkStart w:id="1750" w:name="Tc_Fe7IQNO1r06rc0fUU9Nj0w_8_0"/>
      <w:bookmarkStart w:id="1751" w:name="Tc_jobhoNH5aUi-ZlRvJ0Y0oA_7_0"/>
      <w:bookmarkStart w:id="1752" w:name="Tc_XLYUzWvG2EO-mPVV4eW7Xg_6_0"/>
      <w:bookmarkStart w:id="1753" w:name="Tc_pBYhvIeW9U6OBULi5m-SLA_5_0"/>
      <w:bookmarkStart w:id="1754" w:name="Tc_l0zD6V7HMEmu3iZc2sE8_w_4_0"/>
      <w:bookmarkStart w:id="1755" w:name="Tc_pSpbs0GFI06cM0vyPL_3Sw_3_5"/>
      <w:bookmarkStart w:id="1756" w:name="Tc_8fjzI5zkwUiPQIgknwnSOQ_3_2"/>
      <w:bookmarkStart w:id="1757" w:name="Tc_2OqPVp3l80WOdvc-FTYvyA_3_0"/>
      <w:bookmarkStart w:id="1758" w:name="Tc_oZNiEAqqn0uZPk-l_bndpg_2_5"/>
      <w:bookmarkStart w:id="1759" w:name="Tc_dek8eXFV7Eqo2t74VGL4aQ_2_2"/>
      <w:bookmarkStart w:id="1760" w:name="Tc_XpWKO0L92Ey49kf2Mv5g-A_1_5"/>
      <w:bookmarkStart w:id="1761" w:name="Tc_uFJTgFZV8EOOmo8zQihS4A_1_2"/>
      <w:bookmarkStart w:id="1762" w:name="_4e386352_ed93_4ccb_af9d_37bec6ee0a5e"/>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r>
        <w:rPr>
          <w:rFonts w:ascii="Times New Roman;Times;serif" w:hAnsi="Times New Roman;Times;serif"/>
          <w:b/>
          <w:i w:val="false"/>
          <w:caps w:val="false"/>
          <w:smallCaps w:val="false"/>
          <w:sz w:val="20"/>
        </w:rPr>
        <w:t>6.</w:t>
      </w:r>
      <w:r>
        <w:rPr>
          <w:rFonts w:ascii="Times New Roman;Times;serif" w:hAnsi="Times New Roman;Times;serif"/>
          <w:b/>
          <w:sz w:val="20"/>
        </w:rPr>
        <w:t>Premises and Equipment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Premises and equipment consist of the following (in thousands):</w:t>
      </w:r>
    </w:p>
    <w:tbl>
      <w:tblPr>
        <w:tblW w:w="5645" w:type="dxa"/>
        <w:jc w:val="left"/>
        <w:tblInd w:w="0" w:type="dxa"/>
        <w:tblLayout w:type="fixed"/>
        <w:tblCellMar>
          <w:top w:w="0" w:type="dxa"/>
          <w:left w:w="0" w:type="dxa"/>
          <w:bottom w:w="0" w:type="dxa"/>
          <w:right w:w="0" w:type="dxa"/>
        </w:tblCellMar>
      </w:tblPr>
      <w:tblGrid>
        <w:gridCol w:w="2881"/>
        <w:gridCol w:w="346"/>
        <w:gridCol w:w="211"/>
        <w:gridCol w:w="676"/>
        <w:gridCol w:w="346"/>
        <w:gridCol w:w="268"/>
        <w:gridCol w:w="917"/>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829435" cy="175260"/>
                      <wp:effectExtent l="0" t="0" r="0" b="0"/>
                      <wp:wrapNone/>
                      <wp:docPr id="259" name="Frame258"/>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29260" cy="175260"/>
                      <wp:effectExtent l="0" t="0" r="0" b="0"/>
                      <wp:wrapNone/>
                      <wp:docPr id="262"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70180" cy="175260"/>
                      <wp:effectExtent l="0" t="0" r="0" b="0"/>
                      <wp:wrapNone/>
                      <wp:docPr id="264" name="Frame26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82295" cy="175260"/>
                      <wp:effectExtent l="0" t="0" r="0" b="0"/>
                      <wp:wrapNone/>
                      <wp:docPr id="265" name="Frame264"/>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Land</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961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961</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Buildings and improvements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17,575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vAlign w:val="center"/>
          </w:tcPr>
          <w:p>
            <w:pPr>
              <w:pStyle w:val="TableContents"/>
              <w:bidi w:val="0"/>
              <w:spacing w:before="0" w:after="0"/>
              <w:ind w:left="0" w:right="0" w:hanging="0"/>
              <w:jc w:val="left"/>
              <w:rPr>
                <w:color w:val="231F20"/>
              </w:rPr>
            </w:pPr>
            <w:r>
              <w:rPr>
                <w:color w:val="231F20"/>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17,459</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Furniture, fixtures, and equipment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2,710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2,666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21,246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vAlign w:val="center"/>
          </w:tcPr>
          <w:p>
            <w:pPr>
              <w:pStyle w:val="TableContents"/>
              <w:bidi w:val="0"/>
              <w:spacing w:before="0" w:after="0"/>
              <w:ind w:left="0" w:right="0" w:hanging="0"/>
              <w:jc w:val="left"/>
              <w:rPr>
                <w:color w:val="231F20"/>
              </w:rPr>
            </w:pPr>
            <w:r>
              <w:rPr>
                <w:color w:val="231F20"/>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21,086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Less accumulated depreciation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14,047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13,725</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Construction in progress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59</w:t>
            </w:r>
          </w:p>
        </w:tc>
      </w:tr>
      <w:tr>
        <w:trPr/>
        <w:tc>
          <w:tcPr>
            <w:tcW w:w="28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7,337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7,420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Bank leases a building for one of its branches. The Bank does not have any future lease commitments for that facility, and is operating on a month-to-month basis. Rent expense was $20,400 and $40,800 during the three and six months ended June 30, 2026, respectively. Rent expense was $20,400 and $40,800 during the three and six months ended June 30, 2025, respectively. The Bank also leases its Oak Park office. The </w:t>
      </w:r>
      <w:r>
        <w:rPr>
          <w:rFonts w:ascii="Times New Roman;Times;serif" w:hAnsi="Times New Roman;Times;serif"/>
          <w:b w:val="false"/>
          <w:i w:val="false"/>
          <w:caps w:val="false"/>
          <w:smallCaps w:val="false"/>
          <w:sz w:val="20"/>
        </w:rPr>
        <w:t>three year</w:t>
      </w:r>
      <w:r>
        <w:rPr>
          <w:rFonts w:ascii="Times New Roman;Times;serif" w:hAnsi="Times New Roman;Times;serif"/>
          <w:sz w:val="20"/>
        </w:rPr>
        <w:t xml:space="preserve"> lease was effective in January of 2023 and expired on December 31, 2025, and the Bank did not include renewal option periods in the original right of use asset as the renewal option was not determined to be reasonably certain to occur at lease inception. The lease was renewed in January of 2026. The right of use asset and lease liability are $337,661 and $339,174, respectively, as of June 30, 2026, and $0 as of December 31, 2025. The right of use asset is included in other assets on the consolidated balance sheet and the lease liability is included in accounts payable and accrued expenses on the consolidated balance sheet. There are </w:t>
      </w:r>
      <w:r>
        <w:rPr>
          <w:rFonts w:ascii="Times New Roman;Times;serif" w:hAnsi="Times New Roman;Times;serif"/>
          <w:b w:val="false"/>
          <w:i w:val="false"/>
          <w:caps w:val="false"/>
          <w:smallCaps w:val="false"/>
          <w:sz w:val="20"/>
        </w:rPr>
        <w:t>four years and six months</w:t>
      </w:r>
      <w:r>
        <w:rPr>
          <w:rFonts w:ascii="Times New Roman;Times;serif" w:hAnsi="Times New Roman;Times;serif"/>
          <w:sz w:val="20"/>
        </w:rPr>
        <w:t xml:space="preserve"> remaining on the lease, all payments will be made by 2030. The payments remaining on the lease consist of the following for the periods presented:</w:t>
      </w:r>
    </w:p>
    <w:p>
      <w:pPr>
        <w:pStyle w:val="TextBody"/>
        <w:bidi w:val="0"/>
        <w:spacing w:before="0" w:after="0"/>
        <w:ind w:left="0" w:right="0" w:hanging="0"/>
        <w:jc w:val="left"/>
        <w:rPr/>
      </w:pPr>
      <w:r>
        <w:rPr/>
        <w:t>​</w:t>
      </w:r>
    </w:p>
    <w:tbl>
      <w:tblPr>
        <w:tblW w:w="2357" w:type="dxa"/>
        <w:jc w:val="left"/>
        <w:tblInd w:w="0" w:type="dxa"/>
        <w:tblLayout w:type="fixed"/>
        <w:tblCellMar>
          <w:top w:w="0" w:type="dxa"/>
          <w:left w:w="0" w:type="dxa"/>
          <w:bottom w:w="0" w:type="dxa"/>
          <w:right w:w="0" w:type="dxa"/>
        </w:tblCellMar>
      </w:tblPr>
      <w:tblGrid>
        <w:gridCol w:w="541"/>
        <w:gridCol w:w="346"/>
        <w:gridCol w:w="282"/>
        <w:gridCol w:w="1188"/>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43535" cy="175260"/>
                      <wp:effectExtent l="0" t="0" r="0" b="0"/>
                      <wp:wrapNone/>
                      <wp:docPr id="266" name="Frame2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9070" cy="175260"/>
                      <wp:effectExtent l="0" t="0" r="0" b="0"/>
                      <wp:wrapNone/>
                      <wp:docPr id="268" name="Frame26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54380" cy="175260"/>
                      <wp:effectExtent l="0" t="0" r="0" b="0"/>
                      <wp:wrapNone/>
                      <wp:docPr id="269" name="Frame268"/>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470"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Remaining Future</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Lease Payments</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2026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39,000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2027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82" w:type="dxa"/>
            <w:tcBorders/>
            <w:vAlign w:val="center"/>
          </w:tcPr>
          <w:p>
            <w:pPr>
              <w:pStyle w:val="TableContents"/>
              <w:bidi w:val="0"/>
              <w:spacing w:before="0" w:after="0"/>
              <w:ind w:left="0" w:right="0" w:hanging="0"/>
              <w:jc w:val="left"/>
              <w:rPr>
                <w:color w:val="231F20"/>
              </w:rPr>
            </w:pPr>
            <w:r>
              <w:rPr>
                <w:color w:val="231F20"/>
              </w:rPr>
              <w:t> </w:t>
            </w:r>
          </w:p>
        </w:tc>
        <w:tc>
          <w:tcPr>
            <w:tcW w:w="118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80,000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2028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2"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82,000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2029</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82" w:type="dxa"/>
            <w:tcBorders/>
            <w:vAlign w:val="center"/>
          </w:tcPr>
          <w:p>
            <w:pPr>
              <w:pStyle w:val="TableContents"/>
              <w:bidi w:val="0"/>
              <w:spacing w:before="0" w:after="0"/>
              <w:ind w:left="0" w:right="0" w:hanging="0"/>
              <w:jc w:val="left"/>
              <w:rPr>
                <w:color w:val="231F20"/>
              </w:rPr>
            </w:pPr>
            <w:r>
              <w:rPr>
                <w:color w:val="231F20"/>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83,000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2030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85,000</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369,000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Core Deposit Intangibles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core deposit intangibles (“CDI”) were acquired in business combinations. On October 16, 2020, the Bank acquired Loomis Federal Savings and Loan Association, which included a CDI of $3,000. The Bank has an additional CDI of $2,705,000 from a previous business combination that is being amortized over its estimated useful life of 120 months. Accumulated amortization at June 30, 2026 was $2.6 million and $2.5 million at December 31, 2025. The CDIs are reviewed for impairment when events or circumstances indicate that the carrying amount may not be recoverable. No events or circumstances indicating impairment existed as of June 30, 2026 and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CDI, net of accumulated amortization, at June 30, 2026 is approximately $46,000. The entire remaining balance is expected to amortize before the end of 2026.</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63" w:name="Tc_FLfgP-l_OEKmjLM-XB7zbg_9_5"/>
      <w:bookmarkStart w:id="1764" w:name="Tc_mRK9uOS8vk22eJDjVK5XpA_9_2"/>
      <w:bookmarkStart w:id="1765" w:name="Tc_K_EZmK7kuEiZ3-Eoh9Gu5g_9_0"/>
      <w:bookmarkStart w:id="1766" w:name="Tc_H5RJ8UdvA0mCe6a3UnE2Jw_8_0"/>
      <w:bookmarkStart w:id="1767" w:name="Tc_EGfo5I_A0keOR8BCaSj9Mg_7_0"/>
      <w:bookmarkStart w:id="1768" w:name="Tc_FZ5R285haUaLnyQ108Tx_A_6_0"/>
      <w:bookmarkStart w:id="1769" w:name="Tc_MnW_-Lnkm0SnudJWglihXw_5_0"/>
      <w:bookmarkStart w:id="1770" w:name="Tc_1qxgNXs4AEWkqp0XK6HH5w_4_5"/>
      <w:bookmarkStart w:id="1771" w:name="Tc_Z50zNZo2YU-fhEtAXHAEqw_4_2"/>
      <w:bookmarkStart w:id="1772" w:name="Tc_CCiOcH-_SkWiTM02mXq63g_4_0"/>
      <w:bookmarkStart w:id="1773" w:name="Tc_8LhLYRyu70KDBjq_JFqPFQ_3_0"/>
      <w:bookmarkStart w:id="1774" w:name="Tc_3xXkC7C_UUyQ6vK83GnE9A_2_5"/>
      <w:bookmarkStart w:id="1775" w:name="Tc_LY6c7V2vg0eMgz_E2GgFsA_2_2"/>
      <w:bookmarkStart w:id="1776" w:name="Tc_cvZAEdYdAk-VZ8DaxhMGyQ_1_5"/>
      <w:bookmarkStart w:id="1777" w:name="Tc_qSZt5pWbb0qKGnL2InmV4A_1_2"/>
      <w:bookmarkStart w:id="1778" w:name="_4356da60_b434_4395_9044_022b57b5ac09"/>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r>
        <w:rPr>
          <w:rFonts w:ascii="Times New Roman;Times;serif" w:hAnsi="Times New Roman;Times;serif"/>
          <w:b/>
          <w:i w:val="false"/>
          <w:caps w:val="false"/>
          <w:smallCaps w:val="false"/>
          <w:sz w:val="20"/>
        </w:rPr>
        <w:t>8.</w:t>
      </w:r>
      <w:r>
        <w:rPr>
          <w:rFonts w:ascii="Times New Roman;Times;serif" w:hAnsi="Times New Roman;Times;serif"/>
          <w:b/>
          <w:sz w:val="20"/>
        </w:rPr>
        <w:t>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Deposit accounts consist of the following (in thousands):</w:t>
      </w:r>
    </w:p>
    <w:tbl>
      <w:tblPr>
        <w:tblW w:w="5405" w:type="dxa"/>
        <w:jc w:val="left"/>
        <w:tblInd w:w="0" w:type="dxa"/>
        <w:tblLayout w:type="fixed"/>
        <w:tblCellMar>
          <w:top w:w="0" w:type="dxa"/>
          <w:left w:w="0" w:type="dxa"/>
          <w:bottom w:w="0" w:type="dxa"/>
          <w:right w:w="0" w:type="dxa"/>
        </w:tblCellMar>
      </w:tblPr>
      <w:tblGrid>
        <w:gridCol w:w="2536"/>
        <w:gridCol w:w="346"/>
        <w:gridCol w:w="211"/>
        <w:gridCol w:w="781"/>
        <w:gridCol w:w="346"/>
        <w:gridCol w:w="228"/>
        <w:gridCol w:w="95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10360" cy="175260"/>
                      <wp:effectExtent l="0" t="0" r="0" b="0"/>
                      <wp:wrapNone/>
                      <wp:docPr id="270" name="Frame26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4780" cy="175260"/>
                      <wp:effectExtent l="0" t="0" r="0" b="0"/>
                      <wp:wrapNone/>
                      <wp:docPr id="275" name="Frame27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07695" cy="175260"/>
                      <wp:effectExtent l="0" t="0" r="0" b="0"/>
                      <wp:wrapNone/>
                      <wp:docPr id="276" name="Frame27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Passbook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86,560</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89,870</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63,128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54,215</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Daily money market accounts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17,174</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16,239</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demand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166,862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160,324</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145,700</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161,227</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of all deposit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312,562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321,551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Time deposits that meet or exceed the FDIC insurance limit of $250,000 totaled $33.6 million at June 30, 2026 and $39.0 million at December 31,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 xml:space="preserve">Fair Value Measurements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utilize fair value measurements to record fair value adjustments to certain assets and liabilities and to determine fair value disclosures. From time to time, we may be required to record at fair value other assets on a nonrecurring basis, such as individually evaluated loans and other real estate owned. These nonrecurring fair value adjustments typically involve application of the lower of cost or market accounting or write-downs of individual assets. Additionally, we are required to disclose, but not record, the fair value of other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Hierarchy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group assets and liabilities at fair value in three levels, based on the markets in which the assets and liabilities are traded and the reliability of the assumptions used to determine fair value. These levels 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Valuation is based upon quoted prices for identical instruments traded in active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description of valuation methodologies used for assets recorded at fair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79" w:name="Tc_SrEC7yLvUE68EPlweZNzig_12_11"/>
      <w:bookmarkStart w:id="1780" w:name="Tc_YZ1EbZ6DY0W0XM7GZCM2Pw_12_9"/>
      <w:bookmarkStart w:id="1781" w:name="Tc_aeoLfPr47UCEEyk2Z3HGGg_12_8"/>
      <w:bookmarkStart w:id="1782" w:name="Tc_xgzZQMTHNkqoEkDKzZDQ3w_12_5"/>
      <w:bookmarkStart w:id="1783" w:name="Tc_d-iIRAIas0OJcklunIKRQQ_12_3"/>
      <w:bookmarkStart w:id="1784" w:name="Tc_65taJX-0TUO2OSQxZo3xNQ_12_2"/>
      <w:bookmarkStart w:id="1785" w:name="Tc_cev4ol9nQU2hHuIYZ51sew_12_0"/>
      <w:bookmarkStart w:id="1786" w:name="Tc_Q2Vv_iS7lUGGPcFRZ726Kw_11_9"/>
      <w:bookmarkStart w:id="1787" w:name="Tc_VVQizFI53kGfj8PYsq8GRA_11_3"/>
      <w:bookmarkStart w:id="1788" w:name="Tc_SuQBTYyKAkSUnVVucuLJsA_11_0"/>
      <w:bookmarkStart w:id="1789" w:name="Tc_DT8lVAjCpE2PlSgtjPyvxQ_10_9"/>
      <w:bookmarkStart w:id="1790" w:name="Tc_r-tBZG2VHkODJxdhdVC7DQ_10_3"/>
      <w:bookmarkStart w:id="1791" w:name="Tc_cfy_TtiOCUWQ4E8whc5MAQ_10_0"/>
      <w:bookmarkStart w:id="1792" w:name="Tc_Rkcp4rFqNUezr1cWA5FipA_9_11"/>
      <w:bookmarkStart w:id="1793" w:name="Tc_G-sw-fn2v0a__c3zN9b52g_9_9"/>
      <w:bookmarkStart w:id="1794" w:name="Tc_L1WYWxOZwEag-1PbanIOEg_9_8"/>
      <w:bookmarkStart w:id="1795" w:name="Tc_L3qXgoan00GvJ2_gZr8JIA_9_5"/>
      <w:bookmarkStart w:id="1796" w:name="Tc_6nhzb3dQUkWAsSnO0jq8ag_9_3"/>
      <w:bookmarkStart w:id="1797" w:name="Tc_X_tsghqrOkqTGRXRcttOTw_9_2"/>
      <w:bookmarkStart w:id="1798" w:name="Tc_aL9AZgu9OkOhQV91fyiTog_9_0"/>
      <w:bookmarkStart w:id="1799" w:name="Tc_juJDH3wz40msIF-lD8tWhQ_8_0"/>
      <w:bookmarkStart w:id="1800" w:name="Tc_o4xqByqb9Uy3KSZlBF2tVA_7_11"/>
      <w:bookmarkStart w:id="1801" w:name="Tc_WSZziV4oWEai_cvklSq3ew_7_8"/>
      <w:bookmarkStart w:id="1802" w:name="Tc_kLi9FELnWUGw_xfniUHkqg_7_5"/>
      <w:bookmarkStart w:id="1803" w:name="Tc_67E9EBXNxUSjTh3SSYJBPA_7_2"/>
      <w:bookmarkStart w:id="1804" w:name="Tc_X9R8QOn0D0q4w0fmesQJLg_6_11"/>
      <w:bookmarkStart w:id="1805" w:name="Tc_pnoG6BL0p0yMBSihUUIURA_6_8"/>
      <w:bookmarkStart w:id="1806" w:name="Tc_hjvAPdjNkUGkjfIbkbcZXg_6_5"/>
      <w:bookmarkStart w:id="1807" w:name="Tc_2m4Cs4Uaf0u4-yONBmeKpA_6_2"/>
      <w:bookmarkStart w:id="1808" w:name="Tc_ygkx14Co9EalWh2iyRhKAQ_5_11"/>
      <w:bookmarkStart w:id="1809" w:name="Tc_ytEVSLTe8ke1Ki7xDcPIDQ_5_8"/>
      <w:bookmarkStart w:id="1810" w:name="Tc_vY0JKe1i30aSmCpuhqr7jA_5_5"/>
      <w:bookmarkStart w:id="1811" w:name="Tc_n4rpf7Hym02iM3wXWNf6fA_5_2"/>
      <w:bookmarkStart w:id="1812" w:name="Tc_upEWs-fna06l_79mFhfHKg_4_8"/>
      <w:bookmarkStart w:id="1813" w:name="Tc_WdvLhFtr70-breHDNSCcBw_4_5"/>
      <w:bookmarkStart w:id="1814" w:name="Tc_-67enC4Y3Emb1UMUDwcIRQ_4_2"/>
      <w:bookmarkStart w:id="1815" w:name="Tc_24zQb5ktOUa9Bh9nZtLz1w_3_5"/>
      <w:bookmarkStart w:id="1816" w:name="Tc_4MJYlElDBECUHuFm_giJuw_3_2"/>
      <w:bookmarkStart w:id="1817" w:name="Tc_38XMxe7EEEC6YpSkDJe01A_2_2"/>
      <w:bookmarkStart w:id="1818" w:name="Tc_-SnpBtgBoEGX9rIeaxtLkQ_1_2"/>
      <w:bookmarkStart w:id="1819" w:name="_7217cdce_000d_4045_80c8_5a2116190f15"/>
      <w:bookmarkStart w:id="1820" w:name="Tc_X5KIELshu0ySktq4JzUxbQ_12_11"/>
      <w:bookmarkStart w:id="1821" w:name="Tc_A-pNZ7qISkWLGxw_4xunLg_12_9"/>
      <w:bookmarkStart w:id="1822" w:name="Tc_m_XXsn5fRU-jBjt0iqr5-Q_12_8"/>
      <w:bookmarkStart w:id="1823" w:name="Tc_V47nRPekKkWvLTFYy4cEgw_12_5"/>
      <w:bookmarkStart w:id="1824" w:name="Tc_a_1sszVCP0asi1Q06HdBgA_12_3"/>
      <w:bookmarkStart w:id="1825" w:name="Tc_VjpPR9XYuE2hRRebyiswfA_12_2"/>
      <w:bookmarkStart w:id="1826" w:name="Tc_zR2Z4viPfE2cFdVAeT4pyA_12_0"/>
      <w:bookmarkStart w:id="1827" w:name="Tc_RFXaEVGoFkinPRLGZ9IPZA_11_9"/>
      <w:bookmarkStart w:id="1828" w:name="Tc_Gp-4StIEmECAT84TXIyDlw_11_3"/>
      <w:bookmarkStart w:id="1829" w:name="Tc_77DorfLXFEGGtDIyDc0nvA_11_0"/>
      <w:bookmarkStart w:id="1830" w:name="Tc_bRESbwZnKEqUWvcasrWFJQ_10_9"/>
      <w:bookmarkStart w:id="1831" w:name="Tc__9N-qMU1TUWtd5fCkWN8ig_10_3"/>
      <w:bookmarkStart w:id="1832" w:name="Tc_0Bn86qgS2EWR_xLhBFJseQ_10_0"/>
      <w:bookmarkStart w:id="1833" w:name="Tc_qNIaK2c91EK31Hpj6YJ9Jg_9_11"/>
      <w:bookmarkStart w:id="1834" w:name="Tc_Aha-Mz0VrEyzH5A9-holEw_9_9"/>
      <w:bookmarkStart w:id="1835" w:name="Tc_goabNRV9x0C1-knnlgdKbw_9_8"/>
      <w:bookmarkStart w:id="1836" w:name="Tc_EY1w4rlyAkillBER-Q_frQ_9_5"/>
      <w:bookmarkStart w:id="1837" w:name="Tc_MEurrqzuDkKlvrj62OUOTA_9_3"/>
      <w:bookmarkStart w:id="1838" w:name="Tc_FdIDuWan-k6wKHL8nGO7aA_9_2"/>
      <w:bookmarkStart w:id="1839" w:name="Tc_p6qWX90VUUuqbcxwCfxvNQ_9_0"/>
      <w:bookmarkStart w:id="1840" w:name="Tc_PyguvHWSc0qMm_aF9Wnzkg_8_0"/>
      <w:bookmarkStart w:id="1841" w:name="Tc_Y-gmWjcpKUSPiK9KY_pdtw_7_11"/>
      <w:bookmarkStart w:id="1842" w:name="Tc_e17PNbxM-EGJsF0X8tLUpA_7_8"/>
      <w:bookmarkStart w:id="1843" w:name="Tc_EBiYAx3HBUO5qP8RsNVBDw_7_5"/>
      <w:bookmarkStart w:id="1844" w:name="Tc_8Xu278Dm9EWzTvH48uCrww_7_2"/>
      <w:bookmarkStart w:id="1845" w:name="Tc_gt3tARbP_keuzGEWD-BXBQ_6_11"/>
      <w:bookmarkStart w:id="1846" w:name="Tc_DQchakaN9EeGDt8oCtY2aw_6_8"/>
      <w:bookmarkStart w:id="1847" w:name="Tc_U0bJfAdo6UGbDCbxGXN3fg_6_5"/>
      <w:bookmarkStart w:id="1848" w:name="Tc_GxYjcvF-oUCgqA7jDNpBhA_6_2"/>
      <w:bookmarkStart w:id="1849" w:name="Tc_sPJt68kTakiqhgqwRwQ9BQ_5_11"/>
      <w:bookmarkStart w:id="1850" w:name="Tc_AP42-mE920uUmoEoiIzT0A_5_8"/>
      <w:bookmarkStart w:id="1851" w:name="Tc_Wx2hFfCmm0yht55WiWy0-Q_5_5"/>
      <w:bookmarkStart w:id="1852" w:name="Tc_bmpME8OwS0aVAypaGlVGwQ_5_2"/>
      <w:bookmarkStart w:id="1853" w:name="Tc_5dHuEwsSX0irZTEGB-FWLQ_4_8"/>
      <w:bookmarkStart w:id="1854" w:name="Tc_gKTgZq2k0k-nSwnrafOZJw_4_5"/>
      <w:bookmarkStart w:id="1855" w:name="Tc_UcJnBgDVaUeiY3fBvQWNoQ_4_2"/>
      <w:bookmarkStart w:id="1856" w:name="Tc_kcg1OhqvBEOd6yoAqvcn1Q_3_5"/>
      <w:bookmarkStart w:id="1857" w:name="Tc_X0rQgNKta0SjemYPN4TkIA_3_2"/>
      <w:bookmarkStart w:id="1858" w:name="Tc_CTDaFAuLwE6q7aOVw062Pw_2_2"/>
      <w:bookmarkStart w:id="1859" w:name="Tc_nWxriNn1hEi6L9-Ob11H-A_1_2"/>
      <w:bookmarkStart w:id="1860" w:name="_7c9e08e4_92cc_4f53_b841_3f342d59ef25"/>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r>
        <w:rPr>
          <w:rFonts w:ascii="Times New Roman;Times;serif" w:hAnsi="Times New Roman;Times;serif"/>
          <w:b/>
          <w:i w:val="false"/>
          <w:caps w:val="false"/>
          <w:smallCaps w:val="false"/>
          <w:sz w:val="20"/>
        </w:rPr>
        <w:t>9.</w:t>
      </w:r>
      <w:r>
        <w:rPr>
          <w:rFonts w:ascii="Times New Roman;Times;serif" w:hAnsi="Times New Roman;Times;serif"/>
          <w:b/>
          <w:sz w:val="20"/>
        </w:rPr>
        <w:t>Fair Value Measurements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Available-for-sale securities are recorded at market value and held-to-maturity securities are carried at amortized cost.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and U.S. Treasury securities that are traded by dealers or brokers in active over-the-counter market funds. Level 2 securities include mortgage-backed securities issued by government sponsored enterprises and state, county and municipal bonds. Securities classified as Level 3 include asset-backed securities in less liquid markets (table in thousands).</w:t>
      </w:r>
    </w:p>
    <w:tbl>
      <w:tblPr>
        <w:tblW w:w="9010" w:type="dxa"/>
        <w:jc w:val="left"/>
        <w:tblInd w:w="0" w:type="dxa"/>
        <w:tblLayout w:type="fixed"/>
        <w:tblCellMar>
          <w:top w:w="0" w:type="dxa"/>
          <w:left w:w="0" w:type="dxa"/>
          <w:bottom w:w="0" w:type="dxa"/>
          <w:right w:w="0" w:type="dxa"/>
        </w:tblCellMar>
      </w:tblPr>
      <w:tblGrid>
        <w:gridCol w:w="3226"/>
        <w:gridCol w:w="346"/>
        <w:gridCol w:w="460"/>
        <w:gridCol w:w="755"/>
        <w:gridCol w:w="346"/>
        <w:gridCol w:w="211"/>
        <w:gridCol w:w="781"/>
        <w:gridCol w:w="346"/>
        <w:gridCol w:w="414"/>
        <w:gridCol w:w="682"/>
        <w:gridCol w:w="346"/>
        <w:gridCol w:w="211"/>
        <w:gridCol w:w="88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48510" cy="175260"/>
                      <wp:effectExtent l="0" t="0" r="0" b="0"/>
                      <wp:wrapNone/>
                      <wp:docPr id="277" name="Frame276"/>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92100" cy="175260"/>
                      <wp:effectExtent l="0" t="0" r="0" b="0"/>
                      <wp:wrapNone/>
                      <wp:docPr id="279" name="Frame27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79425" cy="175260"/>
                      <wp:effectExtent l="0" t="0" r="0" b="0"/>
                      <wp:wrapNone/>
                      <wp:docPr id="280" name="Frame279"/>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95935" cy="175260"/>
                      <wp:effectExtent l="0" t="0" r="0" b="0"/>
                      <wp:wrapNone/>
                      <wp:docPr id="283" name="Frame2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2890" cy="175260"/>
                      <wp:effectExtent l="0" t="0" r="0" b="0"/>
                      <wp:wrapNone/>
                      <wp:docPr id="285" name="Frame28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3070" cy="175260"/>
                      <wp:effectExtent l="0" t="0" r="0" b="0"/>
                      <wp:wrapNone/>
                      <wp:docPr id="286" name="Frame285"/>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62610" cy="175260"/>
                      <wp:effectExtent l="0" t="0" r="0" b="0"/>
                      <wp:wrapNone/>
                      <wp:docPr id="289" name="Frame2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43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3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2026</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0"/>
              <w:ind w:left="0" w:right="0" w:hanging="0"/>
              <w:jc w:val="center"/>
              <w:rPr/>
            </w:pPr>
            <w:r>
              <w:rPr/>
              <w:t>  ​ ​ ​</w:t>
            </w:r>
          </w:p>
        </w:tc>
        <w:tc>
          <w:tcPr>
            <w:tcW w:w="414" w:type="dxa"/>
            <w:tcBorders/>
            <w:vAlign w:val="center"/>
          </w:tcPr>
          <w:p>
            <w:pPr>
              <w:pStyle w:val="TableContents"/>
              <w:bidi w:val="0"/>
              <w:spacing w:before="0" w:after="0"/>
              <w:ind w:left="0" w:right="0" w:hanging="0"/>
              <w:jc w:val="left"/>
              <w:rPr>
                <w:color w:val="231F20"/>
              </w:rPr>
            </w:pPr>
            <w:r>
              <w:rPr>
                <w:color w:val="231F20"/>
              </w:rPr>
              <w:t>​</w:t>
            </w:r>
          </w:p>
        </w:tc>
        <w:tc>
          <w:tcPr>
            <w:tcW w:w="682"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886"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886"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June 30,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61,906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61,906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55"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38,263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38,263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Municipal bonds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687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687</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100,856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100,856</w:t>
            </w:r>
          </w:p>
        </w:tc>
      </w:tr>
    </w:tbl>
    <w:p>
      <w:pPr>
        <w:pStyle w:val="TextBody"/>
        <w:bidi w:val="0"/>
        <w:spacing w:before="0" w:after="0"/>
        <w:ind w:left="0" w:right="0" w:hanging="0"/>
        <w:jc w:val="left"/>
        <w:rPr>
          <w:shd w:fill="FFFF00" w:val="clear"/>
        </w:rPr>
      </w:pPr>
      <w:r>
        <w:rPr>
          <w:shd w:fill="FFFF00" w:val="clear"/>
        </w:rPr>
        <w:t>​</w:t>
      </w:r>
    </w:p>
    <w:tbl>
      <w:tblPr>
        <w:tblW w:w="9293" w:type="dxa"/>
        <w:jc w:val="left"/>
        <w:tblInd w:w="0" w:type="dxa"/>
        <w:tblLayout w:type="fixed"/>
        <w:tblCellMar>
          <w:top w:w="0" w:type="dxa"/>
          <w:left w:w="0" w:type="dxa"/>
          <w:bottom w:w="0" w:type="dxa"/>
          <w:right w:w="0" w:type="dxa"/>
        </w:tblCellMar>
      </w:tblPr>
      <w:tblGrid>
        <w:gridCol w:w="3226"/>
        <w:gridCol w:w="346"/>
        <w:gridCol w:w="460"/>
        <w:gridCol w:w="755"/>
        <w:gridCol w:w="346"/>
        <w:gridCol w:w="211"/>
        <w:gridCol w:w="781"/>
        <w:gridCol w:w="346"/>
        <w:gridCol w:w="414"/>
        <w:gridCol w:w="682"/>
        <w:gridCol w:w="346"/>
        <w:gridCol w:w="265"/>
        <w:gridCol w:w="1115"/>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48510" cy="175260"/>
                      <wp:effectExtent l="0" t="0" r="0" b="0"/>
                      <wp:wrapNone/>
                      <wp:docPr id="290" name="Frame28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92100" cy="175260"/>
                      <wp:effectExtent l="0" t="0" r="0" b="0"/>
                      <wp:wrapNone/>
                      <wp:docPr id="292" name="Frame291"/>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79425" cy="175260"/>
                      <wp:effectExtent l="0" t="0" r="0" b="0"/>
                      <wp:wrapNone/>
                      <wp:docPr id="293" name="Frame292"/>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95935" cy="175260"/>
                      <wp:effectExtent l="0" t="0" r="0" b="0"/>
                      <wp:wrapNone/>
                      <wp:docPr id="296" name="Frame2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62890" cy="175260"/>
                      <wp:effectExtent l="0" t="0" r="0" b="0"/>
                      <wp:wrapNone/>
                      <wp:docPr id="298" name="Frame297"/>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3070" cy="175260"/>
                      <wp:effectExtent l="0" t="0" r="0" b="0"/>
                      <wp:wrapNone/>
                      <wp:docPr id="299" name="Frame29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8275" cy="175260"/>
                      <wp:effectExtent l="0" t="0" r="0" b="0"/>
                      <wp:wrapNone/>
                      <wp:docPr id="301" name="Frame30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08025" cy="175260"/>
                      <wp:effectExtent l="0" t="0" r="0" b="0"/>
                      <wp:wrapNone/>
                      <wp:docPr id="302" name="Frame301"/>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21"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2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1"/>
              <w:ind w:left="0" w:right="0" w:hanging="0"/>
              <w:jc w:val="center"/>
              <w:rPr/>
            </w:pPr>
            <w:r>
              <w:rPr/>
              <w:t>  ​ ​ ​</w:t>
            </w:r>
          </w:p>
        </w:tc>
        <w:tc>
          <w:tcPr>
            <w:tcW w:w="414" w:type="dxa"/>
            <w:tcBorders/>
            <w:vAlign w:val="center"/>
          </w:tcPr>
          <w:p>
            <w:pPr>
              <w:pStyle w:val="TableContents"/>
              <w:bidi w:val="0"/>
              <w:spacing w:before="0" w:after="1"/>
              <w:ind w:left="0" w:right="0" w:hanging="0"/>
              <w:jc w:val="left"/>
              <w:rPr>
                <w:color w:val="231F20"/>
              </w:rPr>
            </w:pPr>
            <w:r>
              <w:rPr>
                <w:color w:val="231F20"/>
              </w:rPr>
              <w:t>​</w:t>
            </w:r>
          </w:p>
        </w:tc>
        <w:tc>
          <w:tcPr>
            <w:tcW w:w="682" w:type="dxa"/>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  ​ ​ ​</w:t>
            </w:r>
          </w:p>
        </w:tc>
        <w:tc>
          <w:tcPr>
            <w:tcW w:w="265" w:type="dxa"/>
            <w:tcBorders/>
            <w:vAlign w:val="center"/>
          </w:tcPr>
          <w:p>
            <w:pPr>
              <w:pStyle w:val="TableContents"/>
              <w:bidi w:val="0"/>
              <w:spacing w:before="0" w:after="1"/>
              <w:ind w:left="0" w:right="0" w:hanging="0"/>
              <w:jc w:val="left"/>
              <w:rPr>
                <w:color w:val="231F20"/>
              </w:rPr>
            </w:pPr>
            <w:r>
              <w:rPr>
                <w:color w:val="231F20"/>
              </w:rPr>
              <w:t>​</w:t>
            </w:r>
          </w:p>
        </w:tc>
        <w:tc>
          <w:tcPr>
            <w:tcW w:w="1115"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46"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left"/>
              <w:rPr>
                <w:color w:val="231F20"/>
              </w:rPr>
            </w:pPr>
            <w:r>
              <w:rPr>
                <w:color w:val="231F20"/>
              </w:rPr>
              <w:t>​</w:t>
            </w:r>
          </w:p>
        </w:tc>
        <w:tc>
          <w:tcPr>
            <w:tcW w:w="1115"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46" w:type="dxa"/>
            <w:tcBorders/>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14"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65"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pPr>
            <w:r>
              <w:rPr/>
              <w:t>  ​</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60"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55"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67,465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67,465</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60"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5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38,499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38,499</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60"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690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82"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690</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106,654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106,654</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estimate the fair value of these investments through independent pricing sources. Independent pricing sources utilize information such as similar security transactions and observable yield curves to estimate the fair value of individual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Recorded at Fair Value on a Nonrecurring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be required, from time to time, to measure certain assets at fair value on a nonrecurring basis in accordance with GAAP. These include assets that are measured at the lower of cost or market that were recognized at fair value below cost at the end of the period. The only assets measured at fair value on a nonrecurring basis were individually evaluated loans of $89,927 and $206,086 as of June 30, 2026 and December 31, 2025,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Individually Evaluated Loans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do not record loans at fair value on a recurring basis. However, from time to time, a loan is considered individually evaluated and a specific reserve is established within the allowance for credit losses. Loans for which it is probable that payment of interest and principal will not be made in accordance with the contractual terms of the loan agreement are individually evaluated. Once a loan is identified as individually evaluated, management measures specific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reserves in accordance with U.S. GAAP. The fair value of individually evaluated loans is estimated using one of three methods, including collateral value, market value of similar debt, and discounted cash flows. Those individually evaluated loans not requiring an allowance represent loans for which the fair value of the expected repayments or collateral exceed the recorded investments in such loans. In accordance with GAAP, individually evaluated loans where an allowance is established based on the fair value of collateral require classification in the fair value hierarchy. When the fair value of the collateral is based on an observable market price, we record the individually evaluated loan as nonrecurring Level 2. When an appraised value is used or an appraisal is not available or management determines the fair value of the collateral is further impaired below the appraised value and there is no observable market price, the Bank records the individually evaluated loan as nonrecurring Level 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Real Estate Owned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real estate properties are adjusted to fair value upon transfer of the loans to real estate owned. Subsequently, real estate owned assets are carried at fair value less estimated selling costs. Fair value is based upon independent market prices, appraised values of the collateral or management’s estimation of the value of the collateral. When the fair value of the collateral is based on an observable market price, we record the other real estate as nonrecurring Level 2. When an appraised value is used or an appraisal is not available or management determines the fair value of the collateral is further impaired below the appraised value and there is no observable market price, we record the other real estate asset as nonrecurring Level 3.</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are classified within the fair value hierarchy using the methodologies described in Note 9 – Fair Value Measurements. The following disclosures include financial instruments that are carried at fair value as well as those that are not carried at fair value on the Consolidated Balance Sheets. The calculation of estimated fair values is based on market conditions at a specific point in time and may not reflect current or future fair values.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cash and cash equivalents is a reasonable estimate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Certificates of Deposit in Other Financial Institutions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certificates of deposit is a reasonable estimate of fair value given the short term nature of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other investments includes FHLB Stock and Bankers Bank stock and approximates fair value and is classified as Level 3, as the stock is nonmarketable and has restrictions placed on its transferability.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disclosure purposes, the fair value of fixed rate loans which are not considered individually evaluated is estimated by discounting the future cash flows using the current rates at which similar loans would be made to borrowers with similar credit ratings. For collectively evaluated variable rate loans, the carrying amount is a reasonable estimate of fair value for disclosure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61" w:name="Tc_1R6sC2SKC0G5K3jxWiqnkw_15_2"/>
      <w:bookmarkStart w:id="1862" w:name="Tc_JSbP_Y3EUEmabYDzDany5Q_15_0"/>
      <w:bookmarkStart w:id="1863" w:name="Tc_wae3N1siQEGZaxgnPwc7JA_14_2"/>
      <w:bookmarkStart w:id="1864" w:name="Tc_5g4_22CGZ0-x27SDLnZkcQ_14_0"/>
      <w:bookmarkStart w:id="1865" w:name="Tc_lUbdIpmUdUewLasSmKEvIg_13_0"/>
      <w:bookmarkStart w:id="1866" w:name="Tc_tPODjaL030KaJxmlTbIm7w_12_2"/>
      <w:bookmarkStart w:id="1867" w:name="Tc_W4e8pcc7SU2Tt_XjBGW_xQ_12_0"/>
      <w:bookmarkStart w:id="1868" w:name="Tc_J9dXCVChQEGVLmOXFgLhYA_11_2"/>
      <w:bookmarkStart w:id="1869" w:name="Tc_2lXs9l40c0yjpgasiUte0A_11_0"/>
      <w:bookmarkStart w:id="1870" w:name="Tc_xa0PvgohlUq3Ri4gFEhFlA_10_2"/>
      <w:bookmarkStart w:id="1871" w:name="Tc_ZsttaWx3Dkm-9s05zRapKw_10_0"/>
      <w:bookmarkStart w:id="1872" w:name="Tc_7jwTMpId6keAZIed9D9UsQ_9_2"/>
      <w:bookmarkStart w:id="1873" w:name="Tc_7Cwe9t_VZEGYaijRcDgetg_9_0"/>
      <w:bookmarkStart w:id="1874" w:name="Tc_nn1ZlweGo0O_WVuQpsd9nA_8_2"/>
      <w:bookmarkStart w:id="1875" w:name="Tc_raAkYf8uEEipObh3Ld9Rjg_8_0"/>
      <w:bookmarkStart w:id="1876" w:name="Tc_T-uP1-nQx0yfMJShQPB6zg_7_2"/>
      <w:bookmarkStart w:id="1877" w:name="Tc_vIbpv6wh8UOiehY-wsJCpQ_7_0"/>
      <w:bookmarkStart w:id="1878" w:name="Tc_DdDAM2ogQUiv4NrzSZ9rMw_6_13"/>
      <w:bookmarkStart w:id="1879" w:name="Tc_CCIxW3BY80GXpN7kl8L93w_6_10"/>
      <w:bookmarkStart w:id="1880" w:name="Tc_OGSQYBsyyEi39Sa4JHWvbQ_6_7"/>
      <w:bookmarkStart w:id="1881" w:name="Tc_QsAulIyd1EGEFgFAgc2kfg_6_4"/>
      <w:bookmarkStart w:id="1882" w:name="Tc_TduEUpufs0GwjKAVW3Ol1w_6_2"/>
      <w:bookmarkStart w:id="1883" w:name="Tc_4VgAx3a1TEiZG2ljhOuEbQ_6_0"/>
      <w:bookmarkStart w:id="1884" w:name="Tc_IR-hy8o3XkqQvrYByCEOsA_5_0"/>
      <w:bookmarkStart w:id="1885" w:name="Tc_DKB9Ie8t5k-kg-knPPZiMA_4_13"/>
      <w:bookmarkStart w:id="1886" w:name="Tc_tGvLycLh5EO4WRGOIuUPgw_4_10"/>
      <w:bookmarkStart w:id="1887" w:name="Tc_ENp1T1bMik6xc5H-F5d4CQ_4_7"/>
      <w:bookmarkStart w:id="1888" w:name="Tc_Zv-jjMjenEuk9HnCv2ybtA_4_4"/>
      <w:bookmarkStart w:id="1889" w:name="Tc_tvdznkJFwkO1jYwftvx7sw_3_13"/>
      <w:bookmarkStart w:id="1890" w:name="Tc_X1sP01t9vUWySErjN7c7-A_3_10"/>
      <w:bookmarkStart w:id="1891" w:name="Tc_BxVaGtBbBEGTbJxpbgToYw_3_7"/>
      <w:bookmarkStart w:id="1892" w:name="Tc_5jbu4f6oHU-psjTigjrAVg_3_4"/>
      <w:bookmarkStart w:id="1893" w:name="Tc_K3nsaRGp00qY7Iin6zNEjQ_2_10"/>
      <w:bookmarkStart w:id="1894" w:name="Tc_FiwfWId5Ikye8MF8GwPbGQ_2_4"/>
      <w:bookmarkStart w:id="1895" w:name="Tc_8ewz8QjkTkS6byZwRd2aRA_1_10"/>
      <w:bookmarkStart w:id="1896" w:name="Tc_tIJ-XJiPAk2S15puo7OJVQ_1_4"/>
      <w:bookmarkStart w:id="1897" w:name="_ed6a4c6b_09e2_459d_922e_2690e76aaefd"/>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r>
        <w:rPr>
          <w:rFonts w:ascii="Times New Roman;Times;serif" w:hAnsi="Times New Roman;Times;serif"/>
          <w:b/>
          <w:i w:val="false"/>
          <w:caps w:val="false"/>
          <w:smallCaps w:val="false"/>
          <w:sz w:val="20"/>
        </w:rPr>
        <w:t>10.</w:t>
      </w:r>
      <w:r>
        <w:rPr>
          <w:rFonts w:ascii="Times New Roman;Times;serif" w:hAnsi="Times New Roman;Times;serif"/>
          <w:b/>
          <w:sz w:val="20"/>
        </w:rPr>
        <w:t>Fair Value of Financial Instruments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passbook savings accounts, interest-bearing checking accounts, noninterest-bearing checking accounts and market rate checking accounts is the amount payable on demand at the reporting date, while the fair value of fixed maturity certificate of deposits is estimated by discounting the future cash flows using current rates at which comparable certificates would be issued.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amounts and estimated fair value (in thousands) of our financial instruments at June 30, 2026 and December 31, 2025 are as follows (in thousands):</w:t>
      </w:r>
    </w:p>
    <w:tbl>
      <w:tblPr>
        <w:tblW w:w="8790" w:type="dxa"/>
        <w:jc w:val="left"/>
        <w:tblInd w:w="0" w:type="dxa"/>
        <w:tblLayout w:type="fixed"/>
        <w:tblCellMar>
          <w:top w:w="0" w:type="dxa"/>
          <w:left w:w="0" w:type="dxa"/>
          <w:bottom w:w="0" w:type="dxa"/>
          <w:right w:w="0" w:type="dxa"/>
        </w:tblCellMar>
      </w:tblPr>
      <w:tblGrid>
        <w:gridCol w:w="2326"/>
        <w:gridCol w:w="346"/>
        <w:gridCol w:w="721"/>
        <w:gridCol w:w="346"/>
        <w:gridCol w:w="211"/>
        <w:gridCol w:w="781"/>
        <w:gridCol w:w="346"/>
        <w:gridCol w:w="211"/>
        <w:gridCol w:w="781"/>
        <w:gridCol w:w="346"/>
        <w:gridCol w:w="211"/>
        <w:gridCol w:w="781"/>
        <w:gridCol w:w="346"/>
        <w:gridCol w:w="211"/>
        <w:gridCol w:w="82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77010" cy="175260"/>
                      <wp:effectExtent l="0" t="0" r="0" b="0"/>
                      <wp:wrapNone/>
                      <wp:docPr id="303" name="Frame302"/>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57835" cy="175260"/>
                      <wp:effectExtent l="0" t="0" r="0" b="0"/>
                      <wp:wrapNone/>
                      <wp:docPr id="305" name="Frame3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5935" cy="175260"/>
                      <wp:effectExtent l="0" t="0" r="0" b="0"/>
                      <wp:wrapNone/>
                      <wp:docPr id="308"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5935" cy="175260"/>
                      <wp:effectExtent l="0" t="0" r="0" b="0"/>
                      <wp:wrapNone/>
                      <wp:docPr id="311"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4"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24510" cy="175260"/>
                      <wp:effectExtent l="0" t="0" r="0" b="0"/>
                      <wp:wrapNone/>
                      <wp:docPr id="317" name="Frame3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AFS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100,856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100,856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106,654</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HTM</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282,289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273,980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258,840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312,562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320,437</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estimates are made at a specific point in time, based on relevant market information and information about the financial instrument. These estimates do not reflect any premium or discount that could result from offering for sale at one time of the entire holdings of a particular financial instrument. Because no market exists for a significant portion of our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deferred income taxes and premises and equipment. In addition, the tax ramifications related to the realization of the unrealized gains and losses can have a significant effect on fair value estimates and have not been considered in the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98" w:name="Tc_10zUktLZUUiWUeMtiX2rVA_11_11"/>
      <w:bookmarkStart w:id="1899" w:name="Tc_-QYl0Gv0v0SRIR8jFLR_Sw_11_7"/>
      <w:bookmarkStart w:id="1900" w:name="Tc_bcqRptYnR0qbxRhuZdq_qA_11_6"/>
      <w:bookmarkStart w:id="1901" w:name="Tc_88K7KGd4zkGaXuHszLOI7w_11_2"/>
      <w:bookmarkStart w:id="1902" w:name="Tc_q5mOpz__DE-VEZUSrb-_5w_11_0"/>
      <w:bookmarkStart w:id="1903" w:name="Tc_w9kqjP_A1EmHIBme7_Ll3g_10_0"/>
      <w:bookmarkStart w:id="1904" w:name="Tc_44S6IyS6uUqkqVYFa6lJDg_9_11"/>
      <w:bookmarkStart w:id="1905" w:name="Tc_fh8y8t086ki0EyvM4C11dQ_9_7"/>
      <w:bookmarkStart w:id="1906" w:name="Tc_WCx-CEe7mUyDQCXRwveiAw_9_6"/>
      <w:bookmarkStart w:id="1907" w:name="Tc_kR3uyFrFVUu4V1bq56ZazQ_9_2"/>
      <w:bookmarkStart w:id="1908" w:name="Tc_7G8GB7moO0aUGlnGNdVaUQ_9_0"/>
      <w:bookmarkStart w:id="1909" w:name="Tc_K2wS_f0ZS0SzP89Yjg0OPA_8_0"/>
      <w:bookmarkStart w:id="1910" w:name="Tc_-pznGPhrYkyhMAgJAGjQAg_7_10"/>
      <w:bookmarkStart w:id="1911" w:name="Tc_VAW4pgVKGEqMM6yExLoO5A_7_7"/>
      <w:bookmarkStart w:id="1912" w:name="Tc_HTT4VD2k0kSYFUjPJIHBIA_7_5"/>
      <w:bookmarkStart w:id="1913" w:name="Tc_HQiFpwtPBEStAeCptfQhFQ_7_2"/>
      <w:bookmarkStart w:id="1914" w:name="Tc_DsrWa9kkpE6lMalyUI5PpA_6_7"/>
      <w:bookmarkStart w:id="1915" w:name="Tc_4x5jJ74MA0-eClasrDYsxA_6_2"/>
      <w:bookmarkStart w:id="1916" w:name="Tc_HkI1afkNmkmOqjoa5gCXzA_5_7"/>
      <w:bookmarkStart w:id="1917" w:name="Tc_JSoUX6_LqUK-P2Us367eWA_4_7"/>
      <w:bookmarkStart w:id="1918" w:name="Tc_JcMWaKMRWU2TteK1JN6ZBQ_3_7"/>
      <w:bookmarkStart w:id="1919" w:name="Tc_jYCl7OqcuUyyzkp9TZj-eA_2_7"/>
      <w:bookmarkStart w:id="1920" w:name="Tc_NYDk99cFnUiPT4mUyi4AcQ_1_7"/>
      <w:bookmarkStart w:id="1921" w:name="_66ded31c_e395_440b_96b1_8942957d8f96"/>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r>
        <w:rPr>
          <w:rFonts w:ascii="Times New Roman;Times;serif" w:hAnsi="Times New Roman;Times;serif"/>
          <w:b/>
          <w:i w:val="false"/>
          <w:caps w:val="false"/>
          <w:smallCaps w:val="false"/>
          <w:sz w:val="20"/>
        </w:rPr>
        <w:t>11.</w:t>
      </w:r>
      <w:r>
        <w:rPr>
          <w:rFonts w:ascii="Times New Roman;Times;serif" w:hAnsi="Times New Roman;Times;serif"/>
          <w:b/>
          <w:sz w:val="20"/>
        </w:rPr>
        <w:t>Regulatory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may also be subject to qualitative judgments by the regulators about components, risk weightings, and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qualified for and elected to opt into the optional Community Bank Leverage Ratio Framework (“CBLRF”). The CBLRF provides for a simple measure of capital adequacy for certain community banking organizations consistent with section 201 of the Economic Growth, Regulatory Relief, and Consumer Protection Act. Generally, depository institutions and depository institution holding companies that have less than $10 billion in total consolidated assets and meet other qualifying criteria, including a Tier 1 leverage ratio of greater than nine percent, are considered qualifying community banking organizations and are eligible to opt into the community bank leverage ratio framework.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Qualifying community banking organizations that elect to use the CBLRF and that maintain a leverage ratio of greater than nine percent are considered to have satisfied the risk-based and leverage capital requirements in the agencies’ generally applicable capital rule. Additionally, such insured depository institutions are considered to have met the well-capitalized ratio requirements for purposes of section 38 of the Federal Deposit Insurance Act. The CBLRF does not have a total capital requirement; therefore, an electing banking organization is not required to calculate Tier 2 capital or make any Tier 2 capital deductions under the generally applicable capital rule. The leverage ratio required for purposes of the CBLRF is calculated as Tier 1 capital divided by average total consolidated assets, consistent with how banking organizations calculate their leverage ratio under the generally applicable capital rule. In November 2025, the OCC and the FDIC jointly issued a proposal to reduce the minimum leverage ratio for opting-in banks from 9% to 8%, effective July 1, 2026. The table below presents the leverage ratio and capital adequacy requirements under the CBLRF.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believes, as of June 30, 2026 and December 31, 2025, that the Bank meets all capital adequacy requirements to which it is subject. The most recent notification from Regulatory Authorities categorized the Bank as well capitalized under the regulatory framework for prompt corrective action. There are no conditions or events since that notification that management believes have changed the Bank’s category (table in thousands).</w:t>
      </w:r>
    </w:p>
    <w:tbl>
      <w:tblPr>
        <w:tblW w:w="9117" w:type="dxa"/>
        <w:jc w:val="left"/>
        <w:tblInd w:w="0" w:type="dxa"/>
        <w:tblLayout w:type="fixed"/>
        <w:tblCellMar>
          <w:top w:w="0" w:type="dxa"/>
          <w:left w:w="0" w:type="dxa"/>
          <w:bottom w:w="0" w:type="dxa"/>
          <w:right w:w="0" w:type="dxa"/>
        </w:tblCellMar>
      </w:tblPr>
      <w:tblGrid>
        <w:gridCol w:w="4441"/>
        <w:gridCol w:w="346"/>
        <w:gridCol w:w="211"/>
        <w:gridCol w:w="781"/>
        <w:gridCol w:w="346"/>
        <w:gridCol w:w="511"/>
        <w:gridCol w:w="391"/>
        <w:gridCol w:w="211"/>
        <w:gridCol w:w="676"/>
        <w:gridCol w:w="346"/>
        <w:gridCol w:w="511"/>
        <w:gridCol w:w="34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820035" cy="175260"/>
                      <wp:effectExtent l="0" t="0" r="0" b="0"/>
                      <wp:wrapNone/>
                      <wp:docPr id="318" name="Frame317"/>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175260"/>
                      <wp:effectExtent l="0" t="0" r="0" b="0"/>
                      <wp:wrapNone/>
                      <wp:docPr id="321" name="Frame3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24485" cy="175260"/>
                      <wp:effectExtent l="0" t="0" r="0" b="0"/>
                      <wp:wrapNone/>
                      <wp:docPr id="323" name="Frame32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48285" cy="175260"/>
                      <wp:effectExtent l="0" t="0" r="0" b="0"/>
                      <wp:wrapNone/>
                      <wp:docPr id="324" name="Frame32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24485" cy="175260"/>
                      <wp:effectExtent l="0" t="0" r="0" b="0"/>
                      <wp:wrapNone/>
                      <wp:docPr id="328" name="Frame3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Requirements </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Well</w:t>
            </w:r>
          </w:p>
        </w:tc>
        <w:tc>
          <w:tcPr>
            <w:tcW w:w="346" w:type="dxa"/>
            <w:tcBorders/>
            <w:vAlign w:val="center"/>
          </w:tcPr>
          <w:p>
            <w:pPr>
              <w:pStyle w:val="TableContents"/>
              <w:bidi w:val="0"/>
              <w:spacing w:before="0" w:after="0"/>
              <w:ind w:left="0" w:right="0" w:hanging="0"/>
              <w:jc w:val="center"/>
              <w:rPr/>
            </w:pPr>
            <w:r>
              <w:rPr/>
              <w:t>​</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Capitalized</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Under Prompt</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Corrective</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Actual</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Action Provisions</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91" w:type="dxa"/>
            <w:tcBorders/>
            <w:vAlign w:val="center"/>
          </w:tcPr>
          <w:p>
            <w:pPr>
              <w:pStyle w:val="TableContents"/>
              <w:bidi w:val="0"/>
              <w:spacing w:before="0" w:after="0"/>
              <w:ind w:left="0" w:right="0" w:hanging="0"/>
              <w:jc w:val="left"/>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June 30, 2026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127,377</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27.3</w:t>
            </w:r>
          </w:p>
        </w:tc>
        <w:tc>
          <w:tcPr>
            <w:tcW w:w="39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42,050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December 31, 2025: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126,916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w:t>
            </w:r>
          </w:p>
        </w:tc>
        <w:tc>
          <w:tcPr>
            <w:tcW w:w="3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46,351</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22" w:name="Tc_DXJJjYdldU-I7Tc5lKB_sA_7_5"/>
      <w:bookmarkStart w:id="1923" w:name="Tc_h7CP2-Uuh0a-IVBCIPC30w_7_2"/>
      <w:bookmarkStart w:id="1924" w:name="Tc_9SfE9ofbz0SY546PS8VvTg_7_0"/>
      <w:bookmarkStart w:id="1925" w:name="Tc_pCH5hUyy1EiyZoc6lMa_Cw_6_0"/>
      <w:bookmarkStart w:id="1926" w:name="Tc_Yr-rTff8-029vW0VXO2taA_5_0"/>
      <w:bookmarkStart w:id="1927" w:name="Tc_gEadS3G07UWzzAcGh9W9Hg_4_0"/>
      <w:bookmarkStart w:id="1928" w:name="Tc_qC5Noxz-qkeugZJ-ZO1Bvw_3_6"/>
      <w:bookmarkStart w:id="1929" w:name="Tc_JDXYqU3PMUSwKU1492GnPQ_3_0"/>
      <w:bookmarkStart w:id="1930" w:name="Tc_RaryxvjjEkOXEhF3JDIGIg_2_2"/>
      <w:bookmarkStart w:id="1931" w:name="Tc_aGwW1oZ-tUmDWMYtjb0RwQ_1_5"/>
      <w:bookmarkStart w:id="1932" w:name="Tc_6qfyCLxa0EmgGUWWVvMgDQ_1_2"/>
      <w:bookmarkStart w:id="1933" w:name="_9d5577be_36d6_48ff_b16c_fb1db65b3172"/>
      <w:bookmarkEnd w:id="1922"/>
      <w:bookmarkEnd w:id="1923"/>
      <w:bookmarkEnd w:id="1924"/>
      <w:bookmarkEnd w:id="1925"/>
      <w:bookmarkEnd w:id="1926"/>
      <w:bookmarkEnd w:id="1927"/>
      <w:bookmarkEnd w:id="1928"/>
      <w:bookmarkEnd w:id="1929"/>
      <w:bookmarkEnd w:id="1930"/>
      <w:bookmarkEnd w:id="1931"/>
      <w:bookmarkEnd w:id="1932"/>
      <w:bookmarkEnd w:id="1933"/>
      <w:r>
        <w:rPr>
          <w:rFonts w:ascii="Times New Roman;Times;serif" w:hAnsi="Times New Roman;Times;serif"/>
          <w:b/>
          <w:i w:val="false"/>
          <w:caps w:val="false"/>
          <w:smallCaps w:val="false"/>
          <w:sz w:val="20"/>
        </w:rPr>
        <w:t>12.</w:t>
      </w:r>
      <w:r>
        <w:rPr>
          <w:rFonts w:ascii="Times New Roman;Times;serif" w:hAnsi="Times New Roman;Times;serif"/>
          <w:b/>
          <w:sz w:val="20"/>
        </w:rPr>
        <w:t>ESOP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conjunction with the Conversion, the Bank established an Employee Stock Ownership Plan (“ESOP”) for the exclusive benefit of eligible employees. The Bank makes annual contributions to the ESOP in amounts as defined by the plan document. These contributions are used to pay debt service. Certain ESOP shares are pledged as collateral for debt. As the debt is repaid, shares are released from collateral and allocated to active participants, based on the proportion of debt service paid in the year. Shares allocated to participants are vested by 100% after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of service, and credit is given for years of service with Hoyne Savings Bank prior to the adoption of the ESOP. Participants will also become fully vested in the case of death, disability or retirement.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initial public stock offering, the ESOP borrowed $6.48 million from the Company for the purpose of purchasing shares of the Company’s common stock. A total of 647,755 shares were purchased with the loan proceeds. Accordingly, common stock acquired by the ESOP is shown as a reduction of stockholder’s equity. The loan is expected to be repaid over a period of up to 25 years.</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A partial annual contribution to the ESOP was made during the year ended December 31, 2025, as loan payments are made annually on December 31</w:t>
      </w:r>
      <w:r>
        <w:rPr>
          <w:rFonts w:ascii="Times New Roman;Times;serif" w:hAnsi="Times New Roman;Times;serif"/>
          <w:sz w:val="15"/>
        </w:rPr>
        <w:t>st</w:t>
      </w:r>
      <w:r>
        <w:rPr>
          <w:rFonts w:ascii="Times New Roman;Times;serif" w:hAnsi="Times New Roman;Times;serif"/>
          <w:sz w:val="20"/>
        </w:rPr>
        <w:t xml:space="preserve"> of each year. Compensation expense is recognized over the service period based on the average fair value of the shares and totaled approximately $103,000 and $196,000 for the three and six months ended June 30, 2026, respectively. The following table presents share information held by the ESOP:</w:t>
      </w:r>
    </w:p>
    <w:tbl>
      <w:tblPr>
        <w:tblW w:w="7035" w:type="dxa"/>
        <w:jc w:val="left"/>
        <w:tblInd w:w="0" w:type="dxa"/>
        <w:tblLayout w:type="fixed"/>
        <w:tblCellMar>
          <w:top w:w="0" w:type="dxa"/>
          <w:left w:w="0" w:type="dxa"/>
          <w:bottom w:w="0" w:type="dxa"/>
          <w:right w:w="0" w:type="dxa"/>
        </w:tblCellMar>
      </w:tblPr>
      <w:tblGrid>
        <w:gridCol w:w="3586"/>
        <w:gridCol w:w="346"/>
        <w:gridCol w:w="245"/>
        <w:gridCol w:w="912"/>
        <w:gridCol w:w="356"/>
        <w:gridCol w:w="323"/>
        <w:gridCol w:w="1267"/>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277110" cy="175260"/>
                      <wp:effectExtent l="0" t="0" r="0" b="0"/>
                      <wp:wrapNone/>
                      <wp:docPr id="330" name="Frame329"/>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55575" cy="175260"/>
                      <wp:effectExtent l="0" t="0" r="0" b="0"/>
                      <wp:wrapNone/>
                      <wp:docPr id="332" name="Frame33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79120" cy="175260"/>
                      <wp:effectExtent l="0" t="0" r="0" b="0"/>
                      <wp:wrapNone/>
                      <wp:docPr id="333" name="Frame332"/>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6060" cy="175260"/>
                      <wp:effectExtent l="0" t="0" r="0" b="0"/>
                      <wp:wrapNone/>
                      <wp:docPr id="334" name="Frame33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5105" cy="175260"/>
                      <wp:effectExtent l="0" t="0" r="0" b="0"/>
                      <wp:wrapNone/>
                      <wp:docPr id="335" name="Frame33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804545" cy="175260"/>
                      <wp:effectExtent l="0" t="0" r="0" b="0"/>
                      <wp:wrapNone/>
                      <wp:docPr id="336" name="Frame335"/>
                      <a:graphic xmlns:a="http://schemas.openxmlformats.org/drawingml/2006/main">
                        <a:graphicData uri="http://schemas.microsoft.com/office/word/2010/wordprocessingShape">
                          <wps:wsp>
                            <wps:cNvSpPr txBox="1"/>
                            <wps:spPr>
                              <a:xfrm>
                                <a:off x="0" y="0"/>
                                <a:ext cx="804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c>
          <w:tcPr>
            <w:tcW w:w="356" w:type="dxa"/>
            <w:tcBorders/>
            <w:vAlign w:val="center"/>
          </w:tcPr>
          <w:p>
            <w:pPr>
              <w:pStyle w:val="TableContents"/>
              <w:bidi w:val="0"/>
              <w:spacing w:before="0" w:after="1"/>
              <w:ind w:left="0" w:right="0" w:hanging="0"/>
              <w:jc w:val="center"/>
              <w:rPr>
                <w:color w:val="231F20"/>
              </w:rPr>
            </w:pPr>
            <w:r>
              <w:rPr>
                <w:color w:val="231F20"/>
              </w:rPr>
              <w:t>  ​ ​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2025</w:t>
            </w:r>
          </w:p>
        </w:tc>
      </w:tr>
      <w:tr>
        <w:trPr/>
        <w:tc>
          <w:tcPr>
            <w:tcW w:w="703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3103" w:type="dxa"/>
            <w:gridSpan w:val="5"/>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 except share data)</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Number of shares allocated to participants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5"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2,568</w:t>
            </w:r>
          </w:p>
        </w:tc>
        <w:tc>
          <w:tcPr>
            <w:tcW w:w="35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3"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67"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Number of shares committed to be released</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12,545</w:t>
            </w:r>
          </w:p>
        </w:tc>
        <w:tc>
          <w:tcPr>
            <w:tcW w:w="356"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left"/>
              <w:rPr/>
            </w:pPr>
            <w:r>
              <w:rPr/>
              <w:t> </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Number of unallocated shares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632,642</w:t>
            </w:r>
          </w:p>
        </w:tc>
        <w:tc>
          <w:tcPr>
            <w:tcW w:w="35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2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645,596</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shares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647,755</w:t>
            </w:r>
          </w:p>
        </w:tc>
        <w:tc>
          <w:tcPr>
            <w:tcW w:w="356" w:type="dxa"/>
            <w:tcBorders/>
            <w:vAlign w:val="center"/>
          </w:tcPr>
          <w:p>
            <w:pPr>
              <w:pStyle w:val="TableContents"/>
              <w:bidi w:val="0"/>
              <w:spacing w:before="0" w:after="1"/>
              <w:ind w:left="0" w:right="0" w:hanging="0"/>
              <w:jc w:val="left"/>
              <w:rPr>
                <w:color w:val="231F20"/>
              </w:rPr>
            </w:pPr>
            <w:r>
              <w:rPr>
                <w:color w:val="231F20"/>
              </w:rPr>
              <w:t>​</w:t>
            </w:r>
          </w:p>
        </w:tc>
        <w:tc>
          <w:tcPr>
            <w:tcW w:w="323"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647,755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Fair value of unallocated ESOP shares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10,600</w:t>
            </w:r>
          </w:p>
        </w:tc>
        <w:tc>
          <w:tcPr>
            <w:tcW w:w="35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6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9,400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34" w:name="Tc_PQvw1vyDUkKwSIcN_RyV4A_8_5"/>
      <w:bookmarkStart w:id="1935" w:name="Tc_kCs49J8IbEStUD22e2cRjw_8_2"/>
      <w:bookmarkStart w:id="1936" w:name="Tc_YMKi9HFbdkesW70P2pgpiQ_8_0"/>
      <w:bookmarkStart w:id="1937" w:name="Tc_UruU5hQkJE-uf0LfCFhSEw_7_0"/>
      <w:bookmarkStart w:id="1938" w:name="Tc_64YdVjdPgEGvlUWIvw-sAQ_6_0"/>
      <w:bookmarkStart w:id="1939" w:name="Tc_R9Ios278rEmS2K7kt8FPJw_5_0"/>
      <w:bookmarkStart w:id="1940" w:name="Tc_wLHFDOhHPU6t17W8fgUjgA_3_5"/>
      <w:bookmarkStart w:id="1941" w:name="Tc_4TQxd5cxjEKVH5i4xuCwSQ_3_2"/>
      <w:bookmarkStart w:id="1942" w:name="Tc_sO1ekiBQIk6IWSQxwCUpMw_3_0"/>
      <w:bookmarkStart w:id="1943" w:name="Tc_s2CP2bRHgkGqJK7UUn9bRw_2_5"/>
      <w:bookmarkStart w:id="1944" w:name="Tc_-PtVUSvyekixdkONiO4mBg_2_2"/>
      <w:bookmarkStart w:id="1945" w:name="Tc_VVKQi02uE0KZiJ_qsUozGA_1_5"/>
      <w:bookmarkStart w:id="1946" w:name="Tc_K3zivl-nfkW8TkgrGl9xlQ_1_2"/>
      <w:bookmarkStart w:id="1947" w:name="_b1f66851_40d5_48ac_a689_cda02d93f74c"/>
      <w:bookmarkStart w:id="1948" w:name="_4ff092cd_2a0e_4e8b_bffd_a6152c7c8e37"/>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r>
        <w:rPr>
          <w:rFonts w:ascii="Times New Roman;Times;serif" w:hAnsi="Times New Roman;Times;serif"/>
          <w:b/>
          <w:i w:val="false"/>
          <w:caps w:val="false"/>
          <w:smallCaps w:val="false"/>
          <w:sz w:val="20"/>
        </w:rPr>
        <w:t>13.</w:t>
      </w:r>
      <w:r>
        <w:rPr>
          <w:rFonts w:ascii="Times New Roman;Times;serif" w:hAnsi="Times New Roman;Times;serif"/>
          <w:b/>
          <w:sz w:val="20"/>
        </w:rPr>
        <w:t>Earnings Per Share (EPS)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EPS represents income available to common stockholders divided by the weighted-average number of shares of common stock outstanding during the period. Diluted EPS reflects the potential dilution that could occur if securities or other contracts to issue shares of common stock (such as stock options) were exercised or converted into additional shares of common stock that should then share in the earnings of the entity. Diluted EPS is computed by dividing net income attributable to common stockholders by the weighted-average number of shares of common stock outstanding for the period, plus the effect of potential dilutive common stock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securities or other contracts that had a dilutive effect during the three or six months ended June 30, 2026 or the year ended December 31, 2025, and therefore the weighted-average number of shares of common stock outstanding used to calculate both basic and diluted EPS is the same. Shares held by the ESOP that have not been allocated to employees in accordance with the terms of the ESOP, referred to as “unallocated ESOP shares”, are not deemed outstanding for purposes of the EPS calculation. EPS data is not applicable for the three and six months ended June 30, 2025 as the Company had no shares of its common stock outstanding at such date.</w:t>
      </w:r>
    </w:p>
    <w:tbl>
      <w:tblPr>
        <w:tblW w:w="9171" w:type="dxa"/>
        <w:jc w:val="left"/>
        <w:tblInd w:w="0" w:type="dxa"/>
        <w:tblLayout w:type="fixed"/>
        <w:tblCellMar>
          <w:top w:w="0" w:type="dxa"/>
          <w:left w:w="0" w:type="dxa"/>
          <w:bottom w:w="0" w:type="dxa"/>
          <w:right w:w="0" w:type="dxa"/>
        </w:tblCellMar>
      </w:tblPr>
      <w:tblGrid>
        <w:gridCol w:w="5701"/>
        <w:gridCol w:w="109"/>
        <w:gridCol w:w="288"/>
        <w:gridCol w:w="1272"/>
        <w:gridCol w:w="346"/>
        <w:gridCol w:w="258"/>
        <w:gridCol w:w="1197"/>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620135" cy="175260"/>
                      <wp:effectExtent l="0" t="0" r="0" b="0"/>
                      <wp:wrapNone/>
                      <wp:docPr id="337" name="Frame336"/>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2880" cy="175260"/>
                      <wp:effectExtent l="0" t="0" r="0" b="0"/>
                      <wp:wrapNone/>
                      <wp:docPr id="339" name="Frame33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807720" cy="175260"/>
                      <wp:effectExtent l="0" t="0" r="0" b="0"/>
                      <wp:wrapNone/>
                      <wp:docPr id="340" name="Frame339"/>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3830" cy="175260"/>
                      <wp:effectExtent l="0" t="0" r="0" b="0"/>
                      <wp:wrapNone/>
                      <wp:docPr id="342" name="Frame34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60095" cy="175260"/>
                      <wp:effectExtent l="0" t="0" r="0" b="0"/>
                      <wp:wrapNone/>
                      <wp:docPr id="343" name="Frame342"/>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01"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c>
          <w:tcPr>
            <w:tcW w:w="346" w:type="dxa"/>
            <w:tcBorders/>
            <w:vAlign w:val="center"/>
          </w:tcPr>
          <w:p>
            <w:pPr>
              <w:pStyle w:val="TableContents"/>
              <w:bidi w:val="0"/>
              <w:spacing w:before="0" w:after="1"/>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 (loss) applicable to shares of common stock</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96,760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(21,592)</w:t>
            </w:r>
          </w:p>
        </w:tc>
      </w:tr>
      <w:tr>
        <w:trPr/>
        <w:tc>
          <w:tcPr>
            <w:tcW w:w="5701" w:type="dxa"/>
            <w:tcBorders/>
            <w:vAlign w:val="center"/>
          </w:tcPr>
          <w:p>
            <w:pPr>
              <w:pStyle w:val="TableContents"/>
              <w:bidi w:val="0"/>
              <w:spacing w:before="0" w:after="1"/>
              <w:ind w:left="0" w:right="0" w:hanging="0"/>
              <w:jc w:val="lef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88" w:type="dxa"/>
            <w:tcBorders/>
            <w:vAlign w:val="center"/>
          </w:tcPr>
          <w:p>
            <w:pPr>
              <w:pStyle w:val="TableContents"/>
              <w:bidi w:val="0"/>
              <w:spacing w:before="0" w:after="1"/>
              <w:ind w:left="0" w:right="0" w:hanging="0"/>
              <w:jc w:val="left"/>
              <w:rPr>
                <w:color w:val="231F20"/>
              </w:rPr>
            </w:pPr>
            <w:r>
              <w:rPr>
                <w:color w:val="231F20"/>
              </w:rPr>
              <w:t>​</w:t>
            </w:r>
          </w:p>
        </w:tc>
        <w:tc>
          <w:tcPr>
            <w:tcW w:w="1272"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8" w:type="dxa"/>
            <w:tcBorders/>
            <w:vAlign w:val="center"/>
          </w:tcPr>
          <w:p>
            <w:pPr>
              <w:pStyle w:val="TableContents"/>
              <w:bidi w:val="0"/>
              <w:spacing w:before="0" w:after="1"/>
              <w:ind w:left="0" w:right="0" w:hanging="0"/>
              <w:jc w:val="left"/>
              <w:rPr>
                <w:color w:val="231F20"/>
              </w:rPr>
            </w:pPr>
            <w:r>
              <w:rPr>
                <w:color w:val="231F20"/>
              </w:rPr>
              <w:t>​</w:t>
            </w:r>
          </w:p>
        </w:tc>
        <w:tc>
          <w:tcPr>
            <w:tcW w:w="1197" w:type="dxa"/>
            <w:tcBorders/>
            <w:vAlign w:val="center"/>
          </w:tcPr>
          <w:p>
            <w:pPr>
              <w:pStyle w:val="TableContents"/>
              <w:bidi w:val="0"/>
              <w:spacing w:before="0" w:after="1"/>
              <w:ind w:left="0" w:right="0" w:hanging="0"/>
              <w:jc w:val="right"/>
              <w:rPr>
                <w:color w:val="231F20"/>
              </w:rPr>
            </w:pPr>
            <w:r>
              <w:rPr>
                <w:color w:val="231F20"/>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Average number of shares of common stock outstanding</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8,096,938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8,096,938</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Less: Average unallocated ESOP shares</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2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(635,881)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(639,119)</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Weighted average shares of common stock outstanding for basic EPS</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7,461,057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7,457,819</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Earnings (loss) per common share, basic and diluted</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0.01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(0.00)</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49" w:name="Item2ManagementsDiscussionandAnalysisofF"/>
      <w:bookmarkStart w:id="1950" w:name="_7085f3a3_1142_421c_8ed4_c99c0e88ec58"/>
      <w:bookmarkEnd w:id="1949"/>
      <w:bookmarkEnd w:id="195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discussion and analysis is intended to assist in the understanding of our financial performance through a discussion of our financial condition as of June 30, 2026 (unaudited) and as compared to our financial condition as of December 31, 2025 and our results of operations for the three and six month periods ended June 30, 2026 and 2025 (unaudited). This section should be read in conjunction with the unaudited consolidated financial statements and notes thereto appearing in Part 1 Item 1 of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forward-looking statements, which can be identified by the use of words such as “estimate,” “project,” “believe,” “intend,” “anticipate,” “plan,” “seek,” “expect” and words of similar meaning. These forward-looking statements include, but are not limited to:</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statements of our goals, intentions and expectations;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business plans, prospects, growth and operating strategies; and</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quality of our loan and investment portfolios.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forward-looking statements are based on current beliefs and expectations of our management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w:t>
      </w:r>
    </w:p>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estimates of our risks and future costs and benefits;</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general economic conditions, either nationally or in our market areas, that are different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in the level and direction of loan delinquencies and charge-offs and changes in estimates of the adequacy of the allowance for credit losses;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access cost-effective funding;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major catastrophes such as tornadoes, floods or other natural disasters, the related disruption to local, regional and global economic activity and financial markets, and the impact that any of the foregoing may have on us and our customers and other constituencies;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further data processing and other technological changes that may be more difficult or expensive than expected;</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success or consummation of new business initiatives may be more difficult or expensive than expected;</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inability of third-party service providers to perform;</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fluctuations in real estate values and both residential and commercial real estate market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demand for loans and deposits in our market area;</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continue to implement our business strategies;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competition among depository and other financial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inflation and changes in the interest rate environment that reduce our margins and yields, reduce the fair value of financial instruments or reduce the origination levels in our lending business, or increase the level of defaults, losses and prepayments on loans;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adverse changes in the securities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changes in laws or government regulations or policies affecting financial institutions, including changes in regulatory fees and capital requirements; </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manage market risk, credit risk and operational risk in the current economic conditions;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ability to enter new markets successfully and capitalize on growth opportunities;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successfully integrate any assets, liabilities, customers, systems and management personnel we may acquire into our operations and our ability to realize related revenue synergies and cost savings within expected time frames and any goodwill charges related thereto;</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in consumer spending, borrowing and savings habits;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changes in accounting policies and practices, as may be adopted by the bank regulatory agencies, the Financial Accounting Standards Boards, the Securities and Exchange Commission or the Public Company Accounting Oversight Board;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geopolitical tensions that could affect economic activity or specific industry sectors;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hire and retain key employees;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compensation expense associated with equity allocated or awarded to our employees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Bancorp, Inc. (the “Company”, and together with Hoyne Savings Bank, “we” or “us”) is a Delaware corporation which was incorporated in June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3, 2025, Hoyne Bancorp, Inc. became the holding company for Hoyne Savings Bank (the “Bank”) when Hoyne Savings MHC completed its conversion into the stock holding company form of organization. In connection with the conversion, the Company sold 7,935,000 shares of common stock at a price of $10.00 per share, for gross proceeds of $79.4 million. The Company also contributed 161,938 shares of common stock and $250,000 in cash to Hoyne Charitable Foundation, Inc. Shares of the Company’s common stock began trading on December 4, 2025, on the Nasdaq Capital Market under the trading symbol “HYNE”.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Savings Bank is an Illinois-chartered savings bank which was originally organized in 1887 as Hoyne Building and Loan Homestead Association and is headquartered in Chicago, Illinois. We originate commercial real estate (including commercial construction), commercial and industrial, and one to four residential mortgage loans and, to a lesser extent, home equity loans. We currently operate six full- service banking offices and one loan production office in Cook County, Illinois.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funds consist of attracting deposits from the general public and using those funds and other sources to originate loans to our customers and invest in securities. As of June 30, 2026, we had total assets of $480.0 million, including $282.3 million in net loans and $100.9 million of investment securities available-for-sale, and investment securities held-to-maturity of $25.9 million, total deposits of $312.6 million and total stockholders’ equity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$161.1 million. For the three months ended June 30, 2026, we had a net income of $96,000 compared to a net income of $118,000 for the three months ended June 30, 2025. For the six months ended June 30, 2026, we had a net loss of $22,000 compared to a net loss of $47,000 for the six months ended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results of operations depend, to a large extent, on net interest income, which is the difference between the income earned on our loan and investment portfolios and interest expense on deposits and borrowings. Our net interest income is largely determined by our net interest spread, which is the difference between the average yield earned on interest-earning assets and the average rate paid on interest-bearing liabilities, and the relative amounts of interest-earning assets and interest-bearing liabilities. Results of operations are also affected by our provisions for loan losses, fee income and other noninterest income and noninterest expense. Noninterest expense principally consists of compensation, office occupancy and equipment expense, data processing, advertising and business promotion and other expenses. We expect that our noninterest expenses will increase as we continue to grow and expand our operations. In addition, our compensation expense will increase due to the new stock benefit plans we intend to implement in the next 12 to 18 months. Our results of operations and financial condition are also significantly affected by general economic and competitive conditions, particularly changes in interest rates, changes in accounting guidance, government policies and actions of regulatory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and analysis of the financial condition and results of operations are based on our consolidated financial statements, which are prepared to conform with generally accepted in the United States of America (“U.S. GAAP”) and to general practices within the banking industry. The preparation of the financial statements require certain estimates, judgments, and assumptions, which are believed to be reasonable based upon the information available. These estimates and assumptions affect the reported amounts of assets and liabilities at the date of the financial statements and the reported amounts of income and expenses during the periods presented. The Jumpstart Our Business Startups Act of 2012 contains provisions that, among other things, reduce certain reporting requirements for qualifying public companies. As an “emerging growth company” we may delay adoption of new or revised accounting pronouncements applicable to public companies until such pronouncements are made applicable to private companies. We have opted to take advantage of the benefits of this extended transition period. Accordingly, our financial statements may not be comparable to companies that comply with such new or revised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significant accounting policies used in the preparation of our consolidated financial statements, we have identified certain items as critical accounting policies based on the associated estimates, assumptions, judgements and complexity. See “Management’s Discussion and Analysis of Financial Condition and Results of Operations – Critical Accounting Policies” in our Annual Report on Form 10-K for the year ended December 31,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Financial Condition as of June 30, 2026 and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Assets</w:t>
      </w:r>
      <w:r>
        <w:rPr>
          <w:rFonts w:ascii="Times New Roman;Times;serif" w:hAnsi="Times New Roman;Times;serif"/>
          <w:sz w:val="20"/>
        </w:rPr>
        <w:t>. Total assets decreased $9.4 million or 1.9% to $480.0 million as of June 30, 2026 compared to $489.4 million as of December 31, 2025. The decrease resulted primarily from decreases in cash and cash equivalents of $22.2 million, investment securities available-for-sale of $5.8 million, and investment securities held to maturity of $2.5 million. These decreases were offset by increases in loans receivable, net of $14.3 million, Bank Owned Life Insurance of $5.4 million, and other assets of $1.1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sz w:val="20"/>
        </w:rPr>
        <w:t>. Cash and cash equivalents decreased $22.2 million, or 46.7%, to $25.4 million as of June 30, 2026 compared to $47.6 million as of December 31, 2025. The decrease was primarily the result of funding commercial loan originations and purchasing additional BOLI to enhance the yield on interest earning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Available-for-Sale</w:t>
      </w:r>
      <w:r>
        <w:rPr>
          <w:rFonts w:ascii="Times New Roman;Times;serif" w:hAnsi="Times New Roman;Times;serif"/>
          <w:sz w:val="20"/>
        </w:rPr>
        <w:t>. Investment securities available-for-sale decreased $5.8 million, or 5.4%, to $100.9 million as of June 30, 2026, from $106.7 million as of December 31, 2025 as a result of maturities and paydowns. The resulting liquidity was used to fund loan portfolio originations.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Held-to-Maturity</w:t>
      </w:r>
      <w:r>
        <w:rPr>
          <w:rFonts w:ascii="Times New Roman;Times;serif" w:hAnsi="Times New Roman;Times;serif"/>
          <w:sz w:val="20"/>
        </w:rPr>
        <w:t>. Investment securities held-to-maturity decreased $2.5 million, or 8.6%, to $25.9 million as of June 30, 2026, from $28.4 million as of December 31, 2025 as a result of maturities and paydowns. The liquidity from the decrease was used to fund the increase in our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Other Assets</w:t>
      </w:r>
      <w:r>
        <w:rPr>
          <w:rFonts w:ascii="Times New Roman;Times;serif" w:hAnsi="Times New Roman;Times;serif"/>
          <w:sz w:val="20"/>
        </w:rPr>
        <w:t xml:space="preserve">. Other assets increased $1.1 million, or 65.4%, to $2.9 million as of June 30, 2026 from $1.7 million as of December 31, 2025. The increase was primarily due to an increase in other investments purchased to enhance the yield on interest earning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Loans Receivable, Net</w:t>
      </w:r>
      <w:r>
        <w:rPr>
          <w:rFonts w:ascii="Times New Roman;Times;serif" w:hAnsi="Times New Roman;Times;serif"/>
          <w:sz w:val="20"/>
        </w:rPr>
        <w:t>. Loans receivable, net increased $14.3 million, or 5.4%, to $282.2 million as of June 30, 2026, from $267.9 million as of December 31, 2025. The increase includes $28.6 million in net commercial loan growth offset by a $13.8 million decrease in one to four residential loans and participations.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Allowance for Credit Losses.</w:t>
      </w:r>
      <w:r>
        <w:rPr>
          <w:rFonts w:ascii="Times New Roman;Times;serif" w:hAnsi="Times New Roman;Times;serif"/>
          <w:sz w:val="20"/>
        </w:rPr>
        <w:t xml:space="preserve"> As of June 30, 2026, the allowance for credit losses on loans (“ACL”) increased $270,000 or 10.1%, to $3.0 million as of June 30, 2026, from $2.7 million as of December 31, 2025, due to an increase in the provision for credit loss as a result of the growth in the commercial loan portfolio.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Bank Owned Life Insurance</w:t>
      </w:r>
      <w:r>
        <w:rPr>
          <w:rFonts w:ascii="Times New Roman;Times;serif" w:hAnsi="Times New Roman;Times;serif"/>
          <w:sz w:val="20"/>
        </w:rPr>
        <w:t>. Bank Owned Life Insurance increased $5.4 million, or 36.2%, to $20.3 million as of June 30, 2026, from $14.9 million as of December 31, 2025, due primarily to the purchase of additional policies to enhance the yield on interest earning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Premises and Equipment, Net</w:t>
      </w:r>
      <w:r>
        <w:rPr>
          <w:rFonts w:ascii="Times New Roman;Times;serif" w:hAnsi="Times New Roman;Times;serif"/>
          <w:sz w:val="20"/>
        </w:rPr>
        <w:t>. Premises and equipment, net decreased $83,000, or 1.1%, to $7.3 million as of June 30, 2026 from $7.4 million as of December 31, 2025, due primarily to depreciation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Deposits</w:t>
      </w:r>
      <w:r>
        <w:rPr>
          <w:rFonts w:ascii="Times New Roman;Times;serif" w:hAnsi="Times New Roman;Times;serif"/>
          <w:sz w:val="20"/>
        </w:rPr>
        <w:t xml:space="preserve">. Deposits decreased $9.0 million, or 2.8%, to $312.6 million as of June 30, 2026 from $321.6 million as of December 31, 2025. The decrease was due to a decline of $18.8 million in passbook accounts and certificates of deposit offset by an increase of $9.8 million in NOW and money market accounts.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Stockholders’ Equity</w:t>
      </w:r>
      <w:r>
        <w:rPr>
          <w:rFonts w:ascii="Times New Roman;Times;serif" w:hAnsi="Times New Roman;Times;serif"/>
          <w:sz w:val="20"/>
        </w:rPr>
        <w:t>. Total stockholders’ equity for the first six months of 2026 decreased $223,000, or 0.1%, to $161.1 million from $161.4 million as of December 31, 2025. The decrease was due primarily to an increase in accumulated other comprehensive loss of $397,000 during the first six months of 2026 due to interest rate environment.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Average Balances, Net Interest Income, and Yields Earned and Rates Paid</w:t>
      </w:r>
      <w:r>
        <w:rPr>
          <w:rFonts w:ascii="Times New Roman;Times;serif" w:hAnsi="Times New Roman;Times;serif"/>
          <w:sz w:val="20"/>
        </w:rPr>
        <w:t xml:space="preserve">. The following table shows for the periods indicated the total dollar amount of interest earned from average interest-earning assets and the resulting yields,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well as the interest expense paid on average interest-bearing liabilities, expressed both in dollars and rates, and the net interest margin. All average balances are based on daily balances. </w:t>
      </w:r>
    </w:p>
    <w:tbl>
      <w:tblPr>
        <w:tblW w:w="10205" w:type="dxa"/>
        <w:jc w:val="left"/>
        <w:tblInd w:w="0" w:type="dxa"/>
        <w:tblLayout w:type="fixed"/>
        <w:tblCellMar>
          <w:top w:w="0" w:type="dxa"/>
          <w:left w:w="0" w:type="dxa"/>
          <w:bottom w:w="0" w:type="dxa"/>
          <w:right w:w="0" w:type="dxa"/>
        </w:tblCellMar>
      </w:tblPr>
      <w:tblGrid>
        <w:gridCol w:w="2750"/>
        <w:gridCol w:w="346"/>
        <w:gridCol w:w="213"/>
        <w:gridCol w:w="793"/>
        <w:gridCol w:w="361"/>
        <w:gridCol w:w="211"/>
        <w:gridCol w:w="571"/>
        <w:gridCol w:w="346"/>
        <w:gridCol w:w="721"/>
        <w:gridCol w:w="361"/>
        <w:gridCol w:w="213"/>
        <w:gridCol w:w="793"/>
        <w:gridCol w:w="361"/>
        <w:gridCol w:w="211"/>
        <w:gridCol w:w="571"/>
        <w:gridCol w:w="346"/>
        <w:gridCol w:w="721"/>
        <w:gridCol w:w="316"/>
      </w:tblGrid>
      <w:tr>
        <w:trPr/>
        <w:tc>
          <w:tcPr>
            <w:tcW w:w="2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46250" cy="175260"/>
                      <wp:effectExtent l="0" t="0" r="0" b="0"/>
                      <wp:wrapNone/>
                      <wp:docPr id="344" name="Frame343"/>
                      <a:graphic xmlns:a="http://schemas.openxmlformats.org/drawingml/2006/main">
                        <a:graphicData uri="http://schemas.microsoft.com/office/word/2010/wordprocessingShape">
                          <wps:wsp>
                            <wps:cNvSpPr txBox="1"/>
                            <wps:spPr>
                              <a:xfrm>
                                <a:off x="0" y="0"/>
                                <a:ext cx="174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5255" cy="175260"/>
                      <wp:effectExtent l="0" t="0" r="0" b="0"/>
                      <wp:wrapNone/>
                      <wp:docPr id="346" name="Frame34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3555" cy="175260"/>
                      <wp:effectExtent l="0" t="0" r="0" b="0"/>
                      <wp:wrapNone/>
                      <wp:docPr id="347" name="Frame34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29235" cy="175260"/>
                      <wp:effectExtent l="0" t="0" r="0" b="0"/>
                      <wp:wrapNone/>
                      <wp:docPr id="348" name="Frame3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2585" cy="175260"/>
                      <wp:effectExtent l="0" t="0" r="0" b="0"/>
                      <wp:wrapNone/>
                      <wp:docPr id="350" name="Frame3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57835" cy="175260"/>
                      <wp:effectExtent l="0" t="0" r="0" b="0"/>
                      <wp:wrapNone/>
                      <wp:docPr id="352" name="Frame3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29235" cy="175260"/>
                      <wp:effectExtent l="0" t="0" r="0" b="0"/>
                      <wp:wrapNone/>
                      <wp:docPr id="353" name="Frame3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5255" cy="175260"/>
                      <wp:effectExtent l="0" t="0" r="0" b="0"/>
                      <wp:wrapNone/>
                      <wp:docPr id="354" name="Frame35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03555" cy="175260"/>
                      <wp:effectExtent l="0" t="0" r="0" b="0"/>
                      <wp:wrapNone/>
                      <wp:docPr id="355" name="Frame35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29235" cy="175260"/>
                      <wp:effectExtent l="0" t="0" r="0" b="0"/>
                      <wp:wrapNone/>
                      <wp:docPr id="356" name="Frame3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2585" cy="175260"/>
                      <wp:effectExtent l="0" t="0" r="0" b="0"/>
                      <wp:wrapNone/>
                      <wp:docPr id="358" name="Frame3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57835" cy="175260"/>
                      <wp:effectExtent l="0" t="0" r="0" b="0"/>
                      <wp:wrapNone/>
                      <wp:docPr id="360" name="Frame35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0660" cy="175260"/>
                      <wp:effectExtent l="0" t="0" r="0" b="0"/>
                      <wp:wrapNone/>
                      <wp:docPr id="361" name="Frame3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93"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16" w:type="dxa"/>
            <w:tcBorders/>
            <w:vAlign w:val="center"/>
          </w:tcPr>
          <w:p>
            <w:pPr>
              <w:pStyle w:val="TableContents"/>
              <w:bidi w:val="0"/>
              <w:spacing w:before="0" w:after="0"/>
              <w:ind w:left="0" w:right="0" w:hanging="0"/>
              <w:jc w:val="center"/>
              <w:rPr/>
            </w:pPr>
            <w:r>
              <w:rPr/>
              <w:t> </w:t>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1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321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0"/>
              <w:ind w:left="0" w:right="0" w:hanging="0"/>
              <w:jc w:val="center"/>
              <w:rPr/>
            </w:pPr>
            <w:r>
              <w:rPr/>
              <w:t> </w:t>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0"/>
              <w:ind w:left="0" w:right="0" w:hanging="0"/>
              <w:jc w:val="center"/>
              <w:rPr/>
            </w:pPr>
            <w:r>
              <w:rPr/>
              <w:t> </w:t>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0"/>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93" w:type="dxa"/>
            <w:gridSpan w:val="1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  ​ ​ ​</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0"/>
              <w:ind w:left="0" w:right="0" w:hanging="0"/>
              <w:jc w:val="left"/>
              <w:rPr/>
            </w:pPr>
            <w:r>
              <w:rPr/>
              <w:t>  ​ ​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283,158</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245,267</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 with other financial institutions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cash and cash equivalents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101,744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112,351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of Chicago stock</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433,697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Noninterest-earning assets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455,159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97,358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148,359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196,418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360,742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309,655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315,120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367,665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161,018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476,138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455,159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interest-earning assets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124,042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interest-earning assets to average-interest 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45"/>
        <w:gridCol w:w="346"/>
        <w:gridCol w:w="213"/>
        <w:gridCol w:w="793"/>
        <w:gridCol w:w="361"/>
        <w:gridCol w:w="211"/>
        <w:gridCol w:w="676"/>
        <w:gridCol w:w="346"/>
        <w:gridCol w:w="721"/>
        <w:gridCol w:w="361"/>
        <w:gridCol w:w="213"/>
        <w:gridCol w:w="793"/>
        <w:gridCol w:w="361"/>
        <w:gridCol w:w="211"/>
        <w:gridCol w:w="571"/>
        <w:gridCol w:w="346"/>
        <w:gridCol w:w="721"/>
        <w:gridCol w:w="316"/>
      </w:tblGrid>
      <w:tr>
        <w:trPr/>
        <w:tc>
          <w:tcPr>
            <w:tcW w:w="2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79575" cy="175260"/>
                      <wp:effectExtent l="0" t="0" r="0" b="0"/>
                      <wp:wrapNone/>
                      <wp:docPr id="362" name="Frame361"/>
                      <a:graphic xmlns:a="http://schemas.openxmlformats.org/drawingml/2006/main">
                        <a:graphicData uri="http://schemas.microsoft.com/office/word/2010/wordprocessingShape">
                          <wps:wsp>
                            <wps:cNvSpPr txBox="1"/>
                            <wps:spPr>
                              <a:xfrm>
                                <a:off x="0" y="0"/>
                                <a:ext cx="167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5255" cy="175260"/>
                      <wp:effectExtent l="0" t="0" r="0" b="0"/>
                      <wp:wrapNone/>
                      <wp:docPr id="364" name="Frame36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03555" cy="175260"/>
                      <wp:effectExtent l="0" t="0" r="0" b="0"/>
                      <wp:wrapNone/>
                      <wp:docPr id="365" name="Frame36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29235" cy="175260"/>
                      <wp:effectExtent l="0" t="0" r="0" b="0"/>
                      <wp:wrapNone/>
                      <wp:docPr id="366" name="Frame3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8" name="Frame3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57835" cy="175260"/>
                      <wp:effectExtent l="0" t="0" r="0" b="0"/>
                      <wp:wrapNone/>
                      <wp:docPr id="370" name="Frame3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29235" cy="175260"/>
                      <wp:effectExtent l="0" t="0" r="0" b="0"/>
                      <wp:wrapNone/>
                      <wp:docPr id="371" name="Frame3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5255" cy="175260"/>
                      <wp:effectExtent l="0" t="0" r="0" b="0"/>
                      <wp:wrapNone/>
                      <wp:docPr id="372" name="Frame3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03555" cy="175260"/>
                      <wp:effectExtent l="0" t="0" r="0" b="0"/>
                      <wp:wrapNone/>
                      <wp:docPr id="373" name="Frame37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9235" cy="175260"/>
                      <wp:effectExtent l="0" t="0" r="0" b="0"/>
                      <wp:wrapNone/>
                      <wp:docPr id="374" name="Frame3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62585" cy="175260"/>
                      <wp:effectExtent l="0" t="0" r="0" b="0"/>
                      <wp:wrapNone/>
                      <wp:docPr id="376" name="Frame3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57835" cy="175260"/>
                      <wp:effectExtent l="0" t="0" r="0" b="0"/>
                      <wp:wrapNone/>
                      <wp:docPr id="378" name="Frame37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0660" cy="175260"/>
                      <wp:effectExtent l="0" t="0" r="0" b="0"/>
                      <wp:wrapNone/>
                      <wp:docPr id="379" name="Frame3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98"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16" w:type="dxa"/>
            <w:tcBorders/>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2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321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0"/>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6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98" w:type="dxa"/>
            <w:gridSpan w:val="1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w:t>
            </w:r>
          </w:p>
        </w:tc>
        <w:tc>
          <w:tcPr>
            <w:tcW w:w="316" w:type="dxa"/>
            <w:tcBorders/>
            <w:vAlign w:val="center"/>
          </w:tcPr>
          <w:p>
            <w:pPr>
              <w:pStyle w:val="TableContents"/>
              <w:bidi w:val="0"/>
              <w:spacing w:before="0" w:after="0"/>
              <w:ind w:left="0" w:right="0" w:hanging="0"/>
              <w:jc w:val="center"/>
              <w:rPr>
                <w:color w:val="231F20"/>
              </w:rPr>
            </w:pPr>
            <w:r>
              <w:rPr>
                <w:color w:val="231F20"/>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Interest-earning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3"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93"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67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2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3"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93"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57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21"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16" w:type="dxa"/>
            <w:tcBorders/>
            <w:shd w:fill="CCEEFF" w:val="clear"/>
            <w:vAlign w:val="center"/>
          </w:tcPr>
          <w:p>
            <w:pPr>
              <w:pStyle w:val="TableContents"/>
              <w:bidi w:val="0"/>
              <w:spacing w:before="0" w:after="0"/>
              <w:ind w:left="0" w:right="0" w:hanging="0"/>
              <w:jc w:val="center"/>
              <w:rPr>
                <w:color w:val="231F20"/>
              </w:rPr>
            </w:pPr>
            <w:r>
              <w:rPr>
                <w:color w:val="231F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46" w:type="dxa"/>
            <w:tcBorders/>
            <w:vAlign w:val="center"/>
          </w:tcPr>
          <w:p>
            <w:pPr>
              <w:pStyle w:val="TableContents"/>
              <w:bidi w:val="0"/>
              <w:spacing w:before="0" w:after="0"/>
              <w:ind w:left="0" w:right="0" w:hanging="0"/>
              <w:jc w:val="left"/>
              <w:rPr/>
            </w:pPr>
            <w:r>
              <w:rPr/>
              <w:t>  ​ ​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281,067</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8,786</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244,127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 with other financial institutions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Interest-bearing cash and cash equivalents </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of Chicago stock</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Bankers’ Bank Stock </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440,563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421,414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Noninterest-earning assets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481,247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458,257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87,926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99,349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152,457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198,183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314,249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363,779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314,249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363,779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320,099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161,148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481,247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458,257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8,631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6,477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color w:val="231F20"/>
                <w:sz w:val="20"/>
              </w:rPr>
              <w:t>Interest rate spread</w:t>
            </w:r>
            <w:r>
              <w:rPr>
                <w:rFonts w:ascii="Times New Roman;Times;serif" w:hAnsi="Times New Roman;Times;serif"/>
                <w:color w:val="231F20"/>
                <w:sz w:val="15"/>
              </w:rPr>
              <w:t>(2)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color w:val="231F20"/>
                <w:sz w:val="20"/>
              </w:rPr>
              <w:t>Net interest-earning assets</w:t>
            </w:r>
            <w:r>
              <w:rPr>
                <w:rFonts w:ascii="Times New Roman;Times;serif" w:hAnsi="Times New Roman;Times;serif"/>
                <w:color w:val="231F20"/>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126,314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57,635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color w:val="231F20"/>
                <w:sz w:val="20"/>
              </w:rPr>
              <w:t>Net interest margin</w:t>
            </w:r>
            <w:r>
              <w:rPr>
                <w:rFonts w:ascii="Times New Roman;Times;serif" w:hAnsi="Times New Roman;Times;serif"/>
                <w:color w:val="231F20"/>
                <w:sz w:val="15"/>
              </w:rPr>
              <w:t>(4)</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Average interest-earning assets to average-interest 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140.20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115.84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tbl>
      <w:tblPr>
        <w:tblW w:w="7922" w:type="dxa"/>
        <w:jc w:val="left"/>
        <w:tblInd w:w="0" w:type="dxa"/>
        <w:tblLayout w:type="fixed"/>
        <w:tblCellMar>
          <w:top w:w="0" w:type="dxa"/>
          <w:left w:w="0" w:type="dxa"/>
          <w:bottom w:w="0" w:type="dxa"/>
          <w:right w:w="0" w:type="dxa"/>
        </w:tblCellMar>
      </w:tblPr>
      <w:tblGrid>
        <w:gridCol w:w="346"/>
        <w:gridCol w:w="757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757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Certificate of Deposit Account Registry Service (“CDARS”) added to certificates of deposit.</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6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the difference between the yield on average interest-earning-assets and the cost of average interest-bearing liabilities.</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total interest-earning assets less total interest-bearing liabilities.</w:t>
            </w:r>
          </w:p>
        </w:tc>
      </w:tr>
    </w:tbl>
    <w:tbl>
      <w:tblPr>
        <w:tblW w:w="5867" w:type="dxa"/>
        <w:jc w:val="left"/>
        <w:tblInd w:w="0" w:type="dxa"/>
        <w:tblLayout w:type="fixed"/>
        <w:tblCellMar>
          <w:top w:w="0" w:type="dxa"/>
          <w:left w:w="0" w:type="dxa"/>
          <w:bottom w:w="0" w:type="dxa"/>
          <w:right w:w="0" w:type="dxa"/>
        </w:tblCellMar>
      </w:tblPr>
      <w:tblGrid>
        <w:gridCol w:w="346"/>
        <w:gridCol w:w="552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55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net interest income divided by total interest-earning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Rate/Volume Analysis</w:t>
      </w:r>
      <w:r>
        <w:rPr>
          <w:rFonts w:ascii="Times New Roman;Times;serif" w:hAnsi="Times New Roman;Times;serif"/>
          <w:sz w:val="20"/>
        </w:rPr>
        <w:t>. The following table shows the extent to which changes in interest rates and changes in volume of interest-earning assets and interest-bearing liabilities affected our interest income and expense during the periods indicated. For each category of interest-earning assets and interest-bearing liabilities, information is provided on changes attributable to (1) changes in rate, which is the change in rate multiplied by prior year volume, and (2) changes in volume, which is the change in volume multiplied by prior year rate. The combined effect of changes in both rate and volume has been allocated proportionately to the change due to rate and the change due to volume.</w:t>
      </w:r>
    </w:p>
    <w:tbl>
      <w:tblPr>
        <w:tblW w:w="10205" w:type="dxa"/>
        <w:jc w:val="left"/>
        <w:tblInd w:w="0" w:type="dxa"/>
        <w:tblLayout w:type="fixed"/>
        <w:tblCellMar>
          <w:top w:w="0" w:type="dxa"/>
          <w:left w:w="0" w:type="dxa"/>
          <w:bottom w:w="0" w:type="dxa"/>
          <w:right w:w="0" w:type="dxa"/>
        </w:tblCellMar>
      </w:tblPr>
      <w:tblGrid>
        <w:gridCol w:w="3568"/>
        <w:gridCol w:w="346"/>
        <w:gridCol w:w="211"/>
        <w:gridCol w:w="521"/>
        <w:gridCol w:w="346"/>
        <w:gridCol w:w="211"/>
        <w:gridCol w:w="521"/>
        <w:gridCol w:w="346"/>
        <w:gridCol w:w="228"/>
        <w:gridCol w:w="622"/>
        <w:gridCol w:w="146"/>
        <w:gridCol w:w="211"/>
        <w:gridCol w:w="571"/>
        <w:gridCol w:w="346"/>
        <w:gridCol w:w="211"/>
        <w:gridCol w:w="521"/>
        <w:gridCol w:w="346"/>
        <w:gridCol w:w="211"/>
        <w:gridCol w:w="722"/>
      </w:tblGrid>
      <w:tr>
        <w:trPr/>
        <w:tc>
          <w:tcPr>
            <w:tcW w:w="3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265680" cy="175260"/>
                      <wp:effectExtent l="0" t="0" r="0" b="0"/>
                      <wp:wrapNone/>
                      <wp:docPr id="380" name="Frame379"/>
                      <a:graphic xmlns:a="http://schemas.openxmlformats.org/drawingml/2006/main">
                        <a:graphicData uri="http://schemas.microsoft.com/office/word/2010/wordprocessingShape">
                          <wps:wsp>
                            <wps:cNvSpPr txBox="1"/>
                            <wps:spPr>
                              <a:xfrm>
                                <a:off x="0" y="0"/>
                                <a:ext cx="2265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30835" cy="175260"/>
                      <wp:effectExtent l="0" t="0" r="0" b="0"/>
                      <wp:wrapNone/>
                      <wp:docPr id="383" name="Frame382"/>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30835" cy="175260"/>
                      <wp:effectExtent l="0" t="0" r="0" b="0"/>
                      <wp:wrapNone/>
                      <wp:docPr id="386" name="Frame38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4780" cy="175260"/>
                      <wp:effectExtent l="0" t="0" r="0" b="0"/>
                      <wp:wrapNone/>
                      <wp:docPr id="388" name="Frame38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94970" cy="175260"/>
                      <wp:effectExtent l="0" t="0" r="0" b="0"/>
                      <wp:wrapNone/>
                      <wp:docPr id="389" name="Frame38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92710" cy="175260"/>
                      <wp:effectExtent l="0" t="0" r="0" b="0"/>
                      <wp:wrapNone/>
                      <wp:docPr id="390" name="Frame3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62585" cy="175260"/>
                      <wp:effectExtent l="0" t="0" r="0" b="0"/>
                      <wp:wrapNone/>
                      <wp:docPr id="392" name="Frame3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30835" cy="175260"/>
                      <wp:effectExtent l="0" t="0" r="0" b="0"/>
                      <wp:wrapNone/>
                      <wp:docPr id="395" name="Frame39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58470" cy="175260"/>
                      <wp:effectExtent l="0" t="0" r="0" b="0"/>
                      <wp:wrapNone/>
                      <wp:docPr id="398" name="Frame39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3006" w:type="dxa"/>
            <w:gridSpan w:val="8"/>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Three Months Ended</w:t>
            </w:r>
          </w:p>
        </w:tc>
        <w:tc>
          <w:tcPr>
            <w:tcW w:w="146" w:type="dxa"/>
            <w:tcBorders/>
            <w:vAlign w:val="center"/>
          </w:tcPr>
          <w:p>
            <w:pPr>
              <w:pStyle w:val="TableContents"/>
              <w:bidi w:val="0"/>
              <w:spacing w:before="0" w:after="0"/>
              <w:ind w:left="0" w:right="0" w:hanging="0"/>
              <w:jc w:val="center"/>
              <w:rPr/>
            </w:pPr>
            <w:r>
              <w:rPr/>
              <w:t>​</w:t>
            </w:r>
          </w:p>
        </w:tc>
        <w:tc>
          <w:tcPr>
            <w:tcW w:w="3139" w:type="dxa"/>
            <w:gridSpan w:val="8"/>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Six Months Ended</w: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30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 vs. 2025</w:t>
            </w:r>
          </w:p>
        </w:tc>
        <w:tc>
          <w:tcPr>
            <w:tcW w:w="146" w:type="dxa"/>
            <w:tcBorders/>
            <w:vAlign w:val="center"/>
          </w:tcPr>
          <w:p>
            <w:pPr>
              <w:pStyle w:val="TableContents"/>
              <w:bidi w:val="0"/>
              <w:spacing w:before="0" w:after="0"/>
              <w:ind w:left="0" w:right="0" w:hanging="0"/>
              <w:jc w:val="center"/>
              <w:rPr/>
            </w:pPr>
            <w:r>
              <w:rPr/>
              <w:t>​</w:t>
            </w:r>
          </w:p>
        </w:tc>
        <w:tc>
          <w:tcPr>
            <w:tcW w:w="31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 vs. 2025</w: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18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 </w:t>
            </w:r>
          </w:p>
        </w:tc>
        <w:tc>
          <w:tcPr>
            <w:tcW w:w="18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9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18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146" w:type="dxa"/>
            <w:tcBorders/>
            <w:vAlign w:val="center"/>
          </w:tcPr>
          <w:p>
            <w:pPr>
              <w:pStyle w:val="TableContents"/>
              <w:bidi w:val="0"/>
              <w:spacing w:before="0" w:after="0"/>
              <w:ind w:left="0" w:right="0" w:hanging="0"/>
              <w:jc w:val="center"/>
              <w:rPr/>
            </w:pPr>
            <w:r>
              <w:rPr/>
              <w:t> </w:t>
            </w:r>
          </w:p>
        </w:tc>
        <w:tc>
          <w:tcPr>
            <w:tcW w:w="18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w:t>
            </w:r>
          </w:p>
        </w:tc>
        <w:tc>
          <w:tcPr>
            <w:tcW w:w="9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1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to</w:t>
            </w:r>
          </w:p>
        </w:tc>
        <w:tc>
          <w:tcPr>
            <w:tcW w:w="346" w:type="dxa"/>
            <w:tcBorders/>
            <w:vAlign w:val="center"/>
          </w:tcPr>
          <w:p>
            <w:pPr>
              <w:pStyle w:val="TableContents"/>
              <w:bidi w:val="0"/>
              <w:spacing w:before="0" w:after="0"/>
              <w:ind w:left="0" w:right="0" w:hanging="0"/>
              <w:jc w:val="center"/>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46" w:type="dxa"/>
            <w:tcBorders/>
            <w:vAlign w:val="center"/>
          </w:tcPr>
          <w:p>
            <w:pPr>
              <w:pStyle w:val="TableContents"/>
              <w:bidi w:val="0"/>
              <w:spacing w:before="0" w:after="0"/>
              <w:ind w:left="0" w:right="0" w:hanging="0"/>
              <w:jc w:val="center"/>
              <w:rPr/>
            </w:pPr>
            <w:r>
              <w:rPr/>
              <w:t> </w:t>
            </w:r>
          </w:p>
        </w:tc>
        <w:tc>
          <w:tcPr>
            <w:tcW w:w="18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to</w:t>
            </w:r>
          </w:p>
        </w:tc>
        <w:tc>
          <w:tcPr>
            <w:tcW w:w="346" w:type="dxa"/>
            <w:tcBorders/>
            <w:vAlign w:val="center"/>
          </w:tcPr>
          <w:p>
            <w:pPr>
              <w:pStyle w:val="TableContents"/>
              <w:bidi w:val="0"/>
              <w:spacing w:before="0" w:after="0"/>
              <w:ind w:left="0" w:right="0" w:hanging="0"/>
              <w:jc w:val="center"/>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0"/>
              <w:ind w:left="0" w:right="0" w:hanging="0"/>
              <w:jc w:val="center"/>
              <w:rPr/>
            </w:pPr>
            <w:r>
              <w:rPr/>
              <w:t>  ​ ​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center"/>
              <w:rPr/>
            </w:pPr>
            <w:r>
              <w:rPr/>
              <w:t>  ​ ​ ​</w:t>
            </w:r>
          </w:p>
        </w:tc>
        <w:tc>
          <w:tcPr>
            <w:tcW w:w="228" w:type="dxa"/>
            <w:tcBorders/>
            <w:vAlign w:val="center"/>
          </w:tcPr>
          <w:p>
            <w:pPr>
              <w:pStyle w:val="TableContents"/>
              <w:bidi w:val="0"/>
              <w:spacing w:before="0" w:after="0"/>
              <w:ind w:left="0" w:right="0" w:hanging="0"/>
              <w:jc w:val="center"/>
              <w:rPr/>
            </w:pPr>
            <w:r>
              <w:rPr/>
              <w:t>​</w:t>
            </w:r>
          </w:p>
        </w:tc>
        <w:tc>
          <w:tcPr>
            <w:tcW w:w="622"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46" w:type="dxa"/>
            <w:tcBorders/>
            <w:vAlign w:val="center"/>
          </w:tcPr>
          <w:p>
            <w:pPr>
              <w:pStyle w:val="TableContents"/>
              <w:bidi w:val="0"/>
              <w:spacing w:before="0" w:after="0"/>
              <w:ind w:left="0" w:right="0" w:hanging="0"/>
              <w:jc w:val="center"/>
              <w:rPr/>
            </w:pPr>
            <w:r>
              <w:rPr/>
              <w:t>  ​ ​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22"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56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6291"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608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626</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1,152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1,140</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 with other financial institutions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Interest-bearing cash and cash equivalents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available-for-sale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(76)</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(175)</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held-to-maturity</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FHLB of Chicago stock and Bankers’ Bank stock</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interest-earning assets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414</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890</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  ​</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Savings accounts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Checking accounts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2"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Money market accounts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(677)</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(615)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(671)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(1,286)</w:t>
            </w:r>
          </w:p>
        </w:tc>
      </w:tr>
      <w:tr>
        <w:trPr/>
        <w:tc>
          <w:tcPr>
            <w:tcW w:w="356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interest-bearing liabilities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(650)</w:t>
            </w:r>
          </w:p>
        </w:tc>
        <w:tc>
          <w:tcPr>
            <w:tcW w:w="1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(638)</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(1,264)</w:t>
            </w:r>
          </w:p>
        </w:tc>
      </w:tr>
      <w:tr>
        <w:trPr/>
        <w:tc>
          <w:tcPr>
            <w:tcW w:w="35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net interest income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773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1,064</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1,550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604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2,154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Operating Results for Three and Six Months Ended June 30, 2026 and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For the three months ended June 30, 2026 compared to the same period in 2025, net income decreased $22,000, or 18.6%, to net income of $96,000 compared to a net income of $118,000 for the same period in 2025. The primary reason for the decrease in net income was an increase of $1.3 million in total noninterest expense, offset by an increase of $414,000 in interest income, an increase of $179,000 in noninterest income, a decrease of $650,000 in interest expense, and a decrease in tax expense of $22,000. For the six months ended June 30, 2026 compared to the same period in 2025, net loss decreased by $25,000, or 46.8%, to a net loss of $22,000 compared to a net loss of $47,000 for the same period in 2025. The primary reason for the decrease in net loss was an increase of $890,000 in interest income, a decrease of $1.3 million in interest expense, and an increase of $260,000 in noninterest income offset by an increase of $2.4 million in noninterest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increased $414,000, or 8.3%, to $5.4 million for the three months ended June 30, 2026 compared to $5.0 million for the same period in 2025. The increase in interest income was due to a $626,000 increase in interest income on loans receivable as a result of the growth in the commercial loan portfolio. The increase was partially offset by a $114,000 decrease in interest income on investment securities due to a decrease in balances as a result of maturities and paydowns. Other interest income decreased by $98,000 due to lower average yields on cash and cash equivalents. The excess liquidity generated from the decrease in investment securities and cash account balances was used to fund the growth in the commercial loan portfolio. Interest income increased $890,000, or 9.1%, to $10.7 million for the six months ended June 30, 2026, compared to $9.8 million for the same period in 2025. The increase in interest income for the six month period was due to a $1.1 million increase in interest income on loans receivable in the commercial loan portfolio. The increase was partially offset by $237,000 decrease in interest income on investments due to a decrease in balances as a result of maturities and paydowns. Other interest income decreased by $13,000 due to lower average yields on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Expense on Deposits. </w:t>
      </w:r>
      <w:r>
        <w:rPr>
          <w:rFonts w:ascii="Times New Roman;Times;serif" w:hAnsi="Times New Roman;Times;serif"/>
          <w:sz w:val="20"/>
        </w:rPr>
        <w:t>Interest expense on deposits decreased $650,000, or 40.1%, to $983,000 for the three months ended June 30, 2026, compared to $1.6 million for the three months ended June 30, 2025. The decrease was primarily caused by the decrease in the amount of deposits and in interest rates. Interest expense on deposits decreased $1.3 million, or 38.3%, to $2.0 million for the six months ended June 30, 2026, compared to $3.3 million for the six months ended June 30, 2025. The decrease was primarily similarly caused by the decrease in deposits and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Provision for Credit Losses. </w:t>
      </w:r>
      <w:r>
        <w:rPr>
          <w:rFonts w:ascii="Times New Roman;Times;serif" w:hAnsi="Times New Roman;Times;serif"/>
          <w:sz w:val="20"/>
        </w:rPr>
        <w:t>The provision for credit losses was flat at $135,000 for both the three months ended June 30, 2026 and 2025, and at $270,000 for both the six months ended June 30, 2026 and 2025. The additional provision expense was recorded primarily due to the growth in the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Noninterest Income. </w:t>
      </w:r>
      <w:r>
        <w:rPr>
          <w:rFonts w:ascii="Times New Roman;Times;serif" w:hAnsi="Times New Roman;Times;serif"/>
          <w:sz w:val="20"/>
        </w:rPr>
        <w:t>Noninterest income increased $179,000, or 82.1%, to $397,000 for the three months ended June 30, 2026, compared to $218,000 for the three months ended June 30, 2025. The increase was due primarily to the increase in customer service fees due to commercial loan fees and BOLI income. Noninterest income increased $260,000, or 62.5%, to $676,000 for the six months ended June 30, 2026 compared to $416,000 for the six months ended June 30, 2025. The increase was primarily due to the increase in customer service fees due to commercial loan fees and BOLI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Noninterest Expense. </w:t>
      </w:r>
      <w:r>
        <w:rPr>
          <w:rFonts w:ascii="Times New Roman;Times;serif" w:hAnsi="Times New Roman;Times;serif"/>
          <w:sz w:val="20"/>
        </w:rPr>
        <w:t>Noninterest expense increased $1.3 million, or 39.5%, to $4.5 million for the three months ended June 30, 2026 compared to $3.2 million for the three months ended June 30, 2025. The increase was primarily caused by the increase in compensation due to annual raises and bonuses, audit, consulting and legal expenses. Noninterest expense increased $2.4 million, or 35.8%, to $9.1 million for the six months ended June 30, 2026, compared to $6.7 million for the six months ended June 30, 2025. The increase was primarily caused by the increase in compensation, audit, consulting and legal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Tax Expense (benefit). </w:t>
      </w:r>
      <w:r>
        <w:rPr>
          <w:rFonts w:ascii="Times New Roman;Times;serif" w:hAnsi="Times New Roman;Times;serif"/>
          <w:sz w:val="20"/>
        </w:rPr>
        <w:t>Tax expense (benefit) decreased $22,000, or 30.5%, to $50,000 for the three months ended June 30, 2026, from $72,000 for the same period in 2025. The major factor in the decrease was the lower net income between the periods. Tax benefit increased $1,000, or 20.0%, to a benefit of $6,000 for the six months ended June 30, 2026, from a benefit of $5,000 for the same period in 2025, primarily as a result of the lower net loss between the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levels of liquid assets deemed adequate by management. We adjust our liquidity levels to fund deposit outflows, repay our borrowings, and to fund loan commitments. We also adjust liquidity, as appropriate, to meet asset and liability management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Liquidity describes our ability to meet the financial obligations that arise in the ordinary course of business. Liquidity is primarily needed to meet the borrowing and deposit withdrawal requirements of our customers and to fund current and planned expenditures. Our primary sources of funds are deposits, principal and interest payments on loans and securities, and proceeds from maturities of securities. We also have the ability to borrow from the FHLB of Chicago and Bankers Bank. As of June 30, 2026, we had no outstanding FHLB advances, and had the capacity to borrow approximately $57.9 million from the FHLB of Chicago and $23.0 million from Bankers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maturities and scheduled amortization of loans and securities are predictable sources of funds, deposit flows and loan prepayments are greatly influenced by general interest rates, economic conditions, and competition. Our most liquid assets are cash and short-term investments. The levels of these assets are dependent on our operating, financing, lending, and investing activities during any given period.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cash flows are comprised of three primary classifications: cash flows provided by (used in) operating activities, investing activities, and financing activities. Net cash provided by (used in) operating activities was ($1.3 million) and $2.7 million for the six months ended June 30, 2026 and 2025, respectively. Net cash provided by (used in) investing activities, which consists primarily of changes in loans receivable, was ($11.9 million) and $5.8 million for the six months ended June 30, 2026 and 2025, respectively. Net cash provided by (used in) financing activities, which primarily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consists of changes in deposits, was ($9.0 million) and $18,000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committed to maintaining a strong liquidity position. We monitor our liquidity position on a daily basis. We anticipate that we will have sufficient funds to meet our current short-term and long-term funding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deposit retention experience and current pricing strategy, we anticipate that a significant portion of certificates of deposit will be retained. In addition, we participate in the IntraFi network, which includes CDARS as an alternate source of funding with agreed upon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the Bank was considered well capitalized under the regulatory framework for prompt corrective action. During the year ended December 31, 2023, the Bank elected to begin using the Community Bank Leverage Ratio Framework (the “CBLRF”). Under CBLRF, if a qualifying depository institution or depository institution holding company elects to use such measure, such institution or holding company will be considered well capitalized if its ratio of Tier 1 capital to average total consolidated assets (i.e., leverage ratio) exceeds 9.0% subject to a limited two-quarter grace period, during which the leverage ratio cannot go 100 basis points below the then- applicable threshold, and will not be required to calculate and report risk-based capital ratios. The Bank’s Tier 1 capital to average assets for the leverage ratio was 27.3% and 24.8% as of June 30, 2026 and December 31, 2025, respectively. Additionally, as of June 30, 2026, the Bank exceeded all applicable regulatory capital requirements, including the Tier 1 leverage capital level by $85.3 million, or 18.3%.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Off-Balance Sheet Arrangements</w:t>
      </w:r>
      <w:r>
        <w:rPr>
          <w:rFonts w:ascii="Times New Roman;Times;serif" w:hAnsi="Times New Roman;Times;serif"/>
          <w:i/>
          <w:sz w:val="20"/>
        </w:rPr>
        <w:t xml:space="preserve">. </w:t>
      </w:r>
      <w:r>
        <w:rPr>
          <w:rFonts w:ascii="Times New Roman;Times;serif" w:hAnsi="Times New Roman;Times;serif"/>
          <w:sz w:val="20"/>
        </w:rPr>
        <w:t>As of June 30, 2026, we had $71.7 million of outstanding commitments to originate loans. We had unfunded construction loans as of June 30, 2026 of $12.9 million. Certificates of deposit that are scheduled to mature in less than one year from June 30, 2026, totaled $138.2 million. Management expects that a substantial portion of the maturing certificates of deposit will be renewed. However, if a substantial portion of these deposits are not retained, we may utilize FHLB of Chicago advances or raise interest rates on deposits to attract new accounts, which may result in higher levels of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Commitments</w:t>
      </w:r>
      <w:r>
        <w:rPr>
          <w:rFonts w:ascii="Times New Roman;Times;serif" w:hAnsi="Times New Roman;Times;serif"/>
          <w:sz w:val="20"/>
        </w:rPr>
        <w:t>. The following table summarizes our outstanding commitments to originate loans and to advance additional amounts pursuant to outstanding letters of credit, lines of credit and undisbursed construction loans as of June 30, 2026.</w:t>
      </w:r>
    </w:p>
    <w:tbl>
      <w:tblPr>
        <w:tblW w:w="8924" w:type="dxa"/>
        <w:jc w:val="left"/>
        <w:tblInd w:w="0" w:type="dxa"/>
        <w:tblLayout w:type="fixed"/>
        <w:tblCellMar>
          <w:top w:w="0" w:type="dxa"/>
          <w:left w:w="0" w:type="dxa"/>
          <w:bottom w:w="0" w:type="dxa"/>
          <w:right w:w="0" w:type="dxa"/>
        </w:tblCellMar>
      </w:tblPr>
      <w:tblGrid>
        <w:gridCol w:w="2731"/>
        <w:gridCol w:w="346"/>
        <w:gridCol w:w="264"/>
        <w:gridCol w:w="847"/>
        <w:gridCol w:w="346"/>
        <w:gridCol w:w="211"/>
        <w:gridCol w:w="676"/>
        <w:gridCol w:w="346"/>
        <w:gridCol w:w="211"/>
        <w:gridCol w:w="571"/>
        <w:gridCol w:w="346"/>
        <w:gridCol w:w="211"/>
        <w:gridCol w:w="571"/>
        <w:gridCol w:w="346"/>
        <w:gridCol w:w="214"/>
        <w:gridCol w:w="68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34185" cy="175260"/>
                      <wp:effectExtent l="0" t="0" r="0" b="0"/>
                      <wp:wrapNone/>
                      <wp:docPr id="399" name="Frame39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67640" cy="175260"/>
                      <wp:effectExtent l="0" t="0" r="0" b="0"/>
                      <wp:wrapNone/>
                      <wp:docPr id="401" name="Frame40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37845" cy="175260"/>
                      <wp:effectExtent l="0" t="0" r="0" b="0"/>
                      <wp:wrapNone/>
                      <wp:docPr id="402" name="Frame40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29260" cy="175260"/>
                      <wp:effectExtent l="0" t="0" r="0" b="0"/>
                      <wp:wrapNone/>
                      <wp:docPr id="405" name="Frame4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62585" cy="175260"/>
                      <wp:effectExtent l="0" t="0" r="0" b="0"/>
                      <wp:wrapNone/>
                      <wp:docPr id="408" name="Frame4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62585" cy="175260"/>
                      <wp:effectExtent l="0" t="0" r="0" b="0"/>
                      <wp:wrapNone/>
                      <wp:docPr id="411" name="Frame4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5890" cy="175260"/>
                      <wp:effectExtent l="0" t="0" r="0" b="0"/>
                      <wp:wrapNone/>
                      <wp:docPr id="413" name="Frame41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6245" cy="175260"/>
                      <wp:effectExtent l="0" t="0" r="0" b="0"/>
                      <wp:wrapNone/>
                      <wp:docPr id="414" name="Frame41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46" w:type="dxa"/>
            <w:tcBorders/>
            <w:vAlign w:val="center"/>
          </w:tcPr>
          <w:p>
            <w:pPr>
              <w:pStyle w:val="TableContents"/>
              <w:bidi w:val="0"/>
              <w:spacing w:before="0" w:after="0"/>
              <w:ind w:left="0" w:right="0" w:hanging="0"/>
              <w:jc w:val="center"/>
              <w:rPr/>
            </w:pPr>
            <w:r>
              <w:rPr/>
              <w:t>​</w:t>
            </w:r>
          </w:p>
        </w:tc>
        <w:tc>
          <w:tcPr>
            <w:tcW w:w="439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Commitment Expiration – Per Period</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Committed at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46" w:type="dxa"/>
            <w:tcBorders/>
            <w:vAlign w:val="center"/>
          </w:tcPr>
          <w:p>
            <w:pPr>
              <w:pStyle w:val="TableContents"/>
              <w:bidi w:val="0"/>
              <w:spacing w:before="0" w:after="0"/>
              <w:ind w:left="0" w:right="0" w:hanging="0"/>
              <w:jc w:val="center"/>
              <w:rPr/>
            </w:pPr>
            <w:r>
              <w:rPr/>
              <w:t>  ​ ​ ​</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892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47"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Unused lines of credit</w:t>
            </w:r>
          </w:p>
        </w:tc>
        <w:tc>
          <w:tcPr>
            <w:tcW w:w="346"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13,152</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w:t>
            </w:r>
          </w:p>
        </w:tc>
        <w:tc>
          <w:tcPr>
            <w:tcW w:w="34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to originate loans</w:t>
            </w:r>
          </w:p>
        </w:tc>
        <w:tc>
          <w:tcPr>
            <w:tcW w:w="3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Unfunded construction loans</w:t>
            </w:r>
          </w:p>
        </w:tc>
        <w:tc>
          <w:tcPr>
            <w:tcW w:w="346"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commitments</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7,595</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2,313</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Contractual Cash Obligations</w:t>
      </w:r>
      <w:r>
        <w:rPr>
          <w:rFonts w:ascii="Times New Roman;Times;serif" w:hAnsi="Times New Roman;Times;serif"/>
          <w:sz w:val="20"/>
        </w:rPr>
        <w:t>. The following table summarizes our contractual cash obligations as of June 30, 2026.</w:t>
      </w:r>
    </w:p>
    <w:tbl>
      <w:tblPr>
        <w:tblW w:w="8609" w:type="dxa"/>
        <w:jc w:val="left"/>
        <w:tblInd w:w="0" w:type="dxa"/>
        <w:tblLayout w:type="fixed"/>
        <w:tblCellMar>
          <w:top w:w="0" w:type="dxa"/>
          <w:left w:w="0" w:type="dxa"/>
          <w:bottom w:w="0" w:type="dxa"/>
          <w:right w:w="0" w:type="dxa"/>
        </w:tblCellMar>
      </w:tblPr>
      <w:tblGrid>
        <w:gridCol w:w="2491"/>
        <w:gridCol w:w="346"/>
        <w:gridCol w:w="211"/>
        <w:gridCol w:w="781"/>
        <w:gridCol w:w="346"/>
        <w:gridCol w:w="211"/>
        <w:gridCol w:w="781"/>
        <w:gridCol w:w="346"/>
        <w:gridCol w:w="211"/>
        <w:gridCol w:w="571"/>
        <w:gridCol w:w="346"/>
        <w:gridCol w:w="240"/>
        <w:gridCol w:w="481"/>
        <w:gridCol w:w="346"/>
        <w:gridCol w:w="287"/>
        <w:gridCol w:w="61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81785" cy="175260"/>
                      <wp:effectExtent l="0" t="0" r="0" b="0"/>
                      <wp:wrapNone/>
                      <wp:docPr id="415" name="Frame41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95935" cy="175260"/>
                      <wp:effectExtent l="0" t="0" r="0" b="0"/>
                      <wp:wrapNone/>
                      <wp:docPr id="418" name="Frame4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95935" cy="175260"/>
                      <wp:effectExtent l="0" t="0" r="0" b="0"/>
                      <wp:wrapNone/>
                      <wp:docPr id="421" name="Frame4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62585" cy="175260"/>
                      <wp:effectExtent l="0" t="0" r="0" b="0"/>
                      <wp:wrapNone/>
                      <wp:docPr id="424" name="Frame4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52400" cy="175260"/>
                      <wp:effectExtent l="0" t="0" r="0" b="0"/>
                      <wp:wrapNone/>
                      <wp:docPr id="426" name="Frame42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05435" cy="175260"/>
                      <wp:effectExtent l="0" t="0" r="0" b="0"/>
                      <wp:wrapNone/>
                      <wp:docPr id="427" name="Frame42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82245" cy="175260"/>
                      <wp:effectExtent l="0" t="0" r="0" b="0"/>
                      <wp:wrapNone/>
                      <wp:docPr id="429" name="Frame42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89890" cy="175260"/>
                      <wp:effectExtent l="0" t="0" r="0" b="0"/>
                      <wp:wrapNone/>
                      <wp:docPr id="430" name="Frame429"/>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43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Payments Due by Period </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46" w:type="dxa"/>
            <w:tcBorders/>
            <w:vAlign w:val="center"/>
          </w:tcPr>
          <w:p>
            <w:pPr>
              <w:pStyle w:val="TableContents"/>
              <w:bidi w:val="0"/>
              <w:spacing w:before="0" w:after="1"/>
              <w:ind w:left="0" w:right="0" w:hanging="0"/>
              <w:jc w:val="center"/>
              <w:rPr/>
            </w:pPr>
            <w:r>
              <w:rPr/>
              <w:t>  ​ ​ ​</w:t>
            </w:r>
          </w:p>
        </w:tc>
        <w:tc>
          <w:tcPr>
            <w:tcW w:w="287" w:type="dxa"/>
            <w:tcBorders/>
            <w:vAlign w:val="center"/>
          </w:tcPr>
          <w:p>
            <w:pPr>
              <w:pStyle w:val="TableContents"/>
              <w:bidi w:val="0"/>
              <w:spacing w:before="0" w:after="1"/>
              <w:ind w:left="0" w:right="0" w:hanging="0"/>
              <w:jc w:val="center"/>
              <w:rPr/>
            </w:pPr>
            <w:r>
              <w:rPr/>
              <w:t>​</w:t>
            </w:r>
          </w:p>
        </w:tc>
        <w:tc>
          <w:tcPr>
            <w:tcW w:w="614" w:type="dxa"/>
            <w:tcBorders/>
            <w:vAlign w:val="center"/>
          </w:tcPr>
          <w:p>
            <w:pPr>
              <w:pStyle w:val="TableContents"/>
              <w:bidi w:val="0"/>
              <w:spacing w:before="0" w:after="1"/>
              <w:ind w:left="0" w:right="0" w:hanging="0"/>
              <w:jc w:val="center"/>
              <w:rPr/>
            </w:pPr>
            <w:r>
              <w:rPr/>
              <w:t> </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46"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8609"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72"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6,725</w:t>
            </w:r>
          </w:p>
        </w:tc>
        <w:tc>
          <w:tcPr>
            <w:tcW w:w="346" w:type="dxa"/>
            <w:tcBorders/>
            <w:shd w:fill="CCEEFF" w:val="clear"/>
            <w:vAlign w:val="center"/>
          </w:tcPr>
          <w:p>
            <w:pPr>
              <w:pStyle w:val="TableContents"/>
              <w:bidi w:val="0"/>
              <w:spacing w:before="0" w:after="1"/>
              <w:ind w:left="0" w:right="0" w:hanging="0"/>
              <w:jc w:val="center"/>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shd w:fill="CCEEFF" w:val="clear"/>
            <w:vAlign w:val="center"/>
          </w:tcPr>
          <w:p>
            <w:pPr>
              <w:pStyle w:val="TableContents"/>
              <w:bidi w:val="0"/>
              <w:spacing w:before="0" w:after="1"/>
              <w:ind w:left="0" w:right="0" w:hanging="0"/>
              <w:jc w:val="center"/>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1"/>
              <w:ind w:left="0" w:right="0" w:hanging="0"/>
              <w:jc w:val="right"/>
              <w:rPr/>
            </w:pPr>
            <w:r>
              <w:rPr/>
              <w:t>—</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contractual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145,700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6,725</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Inflation and Changing Prices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and related financial data presented herein have been prepared in accordance with U.S. GAAP, which generally require the measurement of financial position and operating results in terms of historical dollars, without considering changes in relative purchasing power over time due to inflation. Unlike most industrial companies, virtually all of our assets and liabilities are monetary in nature. As a result, interest rates generally have a more significant impact on our performance than does the effect of inflation. Interest rates do not necessarily move in the same direction or in the same magnitude as the prices of goods and services, since such prices are affected by inflation to a larger extent than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Exposure to Changes in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maintain net interest income depends upon our ability to earn a higher yield on interest- earning assets than the rates we pay on deposits and borrowings. Our interest-earning assets consist primarily of securities available-for-sale and primarily one to four family, residential, commercial real estate (including commercial construction) and commercial and industrial loans, which have fixed and variable rates of interest. Consequently, our ability to maintain a positive spread between the interest earned on assets and the interest paid on deposits and borrowings can be adversely affected when market rates of interest rise.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Net Portfolio Value Analysis</w:t>
      </w:r>
      <w:r>
        <w:rPr>
          <w:rFonts w:ascii="Times New Roman;Times;serif" w:hAnsi="Times New Roman;Times;serif"/>
          <w:sz w:val="20"/>
        </w:rPr>
        <w:t>. Our interest rate sensitivity is monitored by management through the use of models which generate estimates of the change in its net portfolio value analysis (“NPV”) over a range of interest rate scenarios. NPV represents the market value of portfolio equity, which is different from book value, and is equal to the market value of assets minus the market value of liabilities (that is, the difference between incoming and outgoing discounted cash flows of assets and liabilities) with adjustments made for off-balance sheet items. The NPV ratio, under any interest rate scenario, is defined as the NPV in that scenario divided by the market value of assets in the same scenario. Management reviews the quarterly reports from third-party industry sources, which show the impact of changing interest rates on net portfolio value. The following table sets forth our NPV as of June 30, 2026 and reflects the changes to NPV as a result of immediate and sustained changes in interest rates as indicated.</w:t>
      </w:r>
    </w:p>
    <w:tbl>
      <w:tblPr>
        <w:tblW w:w="10205" w:type="dxa"/>
        <w:jc w:val="left"/>
        <w:tblInd w:w="0" w:type="dxa"/>
        <w:tblLayout w:type="fixed"/>
        <w:tblCellMar>
          <w:top w:w="0" w:type="dxa"/>
          <w:left w:w="0" w:type="dxa"/>
          <w:bottom w:w="0" w:type="dxa"/>
          <w:right w:w="0" w:type="dxa"/>
        </w:tblCellMar>
      </w:tblPr>
      <w:tblGrid>
        <w:gridCol w:w="3730"/>
        <w:gridCol w:w="346"/>
        <w:gridCol w:w="211"/>
        <w:gridCol w:w="781"/>
        <w:gridCol w:w="346"/>
        <w:gridCol w:w="211"/>
        <w:gridCol w:w="791"/>
        <w:gridCol w:w="346"/>
        <w:gridCol w:w="871"/>
        <w:gridCol w:w="361"/>
        <w:gridCol w:w="871"/>
        <w:gridCol w:w="361"/>
        <w:gridCol w:w="661"/>
        <w:gridCol w:w="318"/>
      </w:tblGrid>
      <w:tr>
        <w:trPr/>
        <w:tc>
          <w:tcPr>
            <w:tcW w:w="3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368550" cy="175260"/>
                      <wp:effectExtent l="0" t="0" r="0" b="0"/>
                      <wp:wrapNone/>
                      <wp:docPr id="431" name="Frame430"/>
                      <a:graphic xmlns:a="http://schemas.openxmlformats.org/drawingml/2006/main">
                        <a:graphicData uri="http://schemas.microsoft.com/office/word/2010/wordprocessingShape">
                          <wps:wsp>
                            <wps:cNvSpPr txBox="1"/>
                            <wps:spPr>
                              <a:xfrm>
                                <a:off x="0" y="0"/>
                                <a:ext cx="2368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95935" cy="175260"/>
                      <wp:effectExtent l="0" t="0" r="0" b="0"/>
                      <wp:wrapNone/>
                      <wp:docPr id="434" name="Frame4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02285" cy="175260"/>
                      <wp:effectExtent l="0" t="0" r="0" b="0"/>
                      <wp:wrapNone/>
                      <wp:docPr id="437" name="Frame43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53085" cy="175260"/>
                      <wp:effectExtent l="0" t="0" r="0" b="0"/>
                      <wp:wrapNone/>
                      <wp:docPr id="439" name="Frame43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29235" cy="175260"/>
                      <wp:effectExtent l="0" t="0" r="0" b="0"/>
                      <wp:wrapNone/>
                      <wp:docPr id="440" name="Frame4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53085" cy="175260"/>
                      <wp:effectExtent l="0" t="0" r="0" b="0"/>
                      <wp:wrapNone/>
                      <wp:docPr id="441" name="Frame4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29235" cy="175260"/>
                      <wp:effectExtent l="0" t="0" r="0" b="0"/>
                      <wp:wrapNone/>
                      <wp:docPr id="442" name="Frame4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19735" cy="175260"/>
                      <wp:effectExtent l="0" t="0" r="0" b="0"/>
                      <wp:wrapNone/>
                      <wp:docPr id="443" name="Frame44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1930" cy="175260"/>
                      <wp:effectExtent l="0" t="0" r="0" b="0"/>
                      <wp:wrapNone/>
                      <wp:docPr id="444" name="Frame44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left"/>
              <w:rPr/>
            </w:pPr>
            <w:r>
              <w:rPr/>
              <w:t>  ​ ​ ​</w:t>
            </w:r>
          </w:p>
        </w:tc>
        <w:tc>
          <w:tcPr>
            <w:tcW w:w="18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NPV as % of</w:t>
            </w:r>
          </w:p>
        </w:tc>
        <w:tc>
          <w:tcPr>
            <w:tcW w:w="318" w:type="dxa"/>
            <w:tcBorders/>
            <w:vAlign w:val="center"/>
          </w:tcPr>
          <w:p>
            <w:pPr>
              <w:pStyle w:val="TableContents"/>
              <w:bidi w:val="0"/>
              <w:spacing w:before="0" w:after="0"/>
              <w:ind w:left="0" w:right="0" w:hanging="0"/>
              <w:jc w:val="center"/>
              <w:rPr/>
            </w:pPr>
            <w:r>
              <w:rPr/>
              <w:t> </w:t>
            </w:r>
          </w:p>
        </w:tc>
      </w:tr>
      <w:tr>
        <w:trPr/>
        <w:tc>
          <w:tcPr>
            <w:tcW w:w="37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8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 Value of</w:t>
            </w:r>
          </w:p>
        </w:tc>
        <w:tc>
          <w:tcPr>
            <w:tcW w:w="318" w:type="dxa"/>
            <w:tcBorders/>
            <w:vAlign w:val="center"/>
          </w:tcPr>
          <w:p>
            <w:pPr>
              <w:pStyle w:val="TableContents"/>
              <w:bidi w:val="0"/>
              <w:spacing w:before="0" w:after="0"/>
              <w:ind w:left="0" w:right="0" w:hanging="0"/>
              <w:jc w:val="center"/>
              <w:rPr/>
            </w:pPr>
            <w:r>
              <w:rPr/>
              <w:t> </w:t>
            </w:r>
          </w:p>
        </w:tc>
      </w:tr>
      <w:tr>
        <w:trPr/>
        <w:tc>
          <w:tcPr>
            <w:tcW w:w="37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Portfolio Value</w:t>
            </w:r>
          </w:p>
        </w:tc>
        <w:tc>
          <w:tcPr>
            <w:tcW w:w="361" w:type="dxa"/>
            <w:tcBorders/>
            <w:vAlign w:val="center"/>
          </w:tcPr>
          <w:p>
            <w:pPr>
              <w:pStyle w:val="TableContents"/>
              <w:bidi w:val="0"/>
              <w:spacing w:before="0" w:after="0"/>
              <w:ind w:left="0" w:right="0" w:hanging="0"/>
              <w:jc w:val="left"/>
              <w:rPr/>
            </w:pPr>
            <w:r>
              <w:rPr/>
              <w:t>​</w:t>
            </w:r>
          </w:p>
        </w:tc>
        <w:tc>
          <w:tcPr>
            <w:tcW w:w="18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18" w:type="dxa"/>
            <w:tcBorders/>
            <w:vAlign w:val="center"/>
          </w:tcPr>
          <w:p>
            <w:pPr>
              <w:pStyle w:val="TableContents"/>
              <w:bidi w:val="0"/>
              <w:spacing w:before="0" w:after="0"/>
              <w:ind w:left="0" w:right="0" w:hanging="0"/>
              <w:jc w:val="center"/>
              <w:rPr/>
            </w:pPr>
            <w:r>
              <w:rPr/>
              <w:t> </w:t>
            </w:r>
          </w:p>
        </w:tc>
      </w:tr>
      <w:tr>
        <w:trPr/>
        <w:tc>
          <w:tcPr>
            <w:tcW w:w="37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NPV Ratio</w:t>
            </w:r>
          </w:p>
        </w:tc>
        <w:tc>
          <w:tcPr>
            <w:tcW w:w="361"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1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8" w:type="dxa"/>
            <w:tcBorders/>
            <w:vAlign w:val="center"/>
          </w:tcPr>
          <w:p>
            <w:pPr>
              <w:pStyle w:val="TableContents"/>
              <w:bidi w:val="0"/>
              <w:spacing w:before="0" w:after="0"/>
              <w:ind w:left="0" w:right="0" w:hanging="0"/>
              <w:jc w:val="center"/>
              <w:rPr/>
            </w:pPr>
            <w:r>
              <w:rPr/>
              <w:t> </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300bp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(12,993)</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Net Interest Income Analysis</w:t>
      </w:r>
      <w:r>
        <w:rPr>
          <w:rFonts w:ascii="Times New Roman;Times;serif" w:hAnsi="Times New Roman;Times;serif"/>
          <w:sz w:val="20"/>
        </w:rPr>
        <w:t>. In addition to modeling changes in NPV, we also analyze potential changes to net interest income (“NII”) for a twelve-month period under rising and falling interest rate scenarios. The following table shows our NII model as of June 30, 2026.</w:t>
      </w:r>
    </w:p>
    <w:tbl>
      <w:tblPr>
        <w:tblW w:w="8634" w:type="dxa"/>
        <w:jc w:val="left"/>
        <w:tblInd w:w="0" w:type="dxa"/>
        <w:tblLayout w:type="fixed"/>
        <w:tblCellMar>
          <w:top w:w="0" w:type="dxa"/>
          <w:left w:w="0" w:type="dxa"/>
          <w:bottom w:w="0" w:type="dxa"/>
          <w:right w:w="0" w:type="dxa"/>
        </w:tblCellMar>
      </w:tblPr>
      <w:tblGrid>
        <w:gridCol w:w="3976"/>
        <w:gridCol w:w="346"/>
        <w:gridCol w:w="364"/>
        <w:gridCol w:w="1167"/>
        <w:gridCol w:w="346"/>
        <w:gridCol w:w="211"/>
        <w:gridCol w:w="691"/>
        <w:gridCol w:w="346"/>
        <w:gridCol w:w="871"/>
        <w:gridCol w:w="31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524760" cy="175260"/>
                      <wp:effectExtent l="0" t="0" r="0" b="0"/>
                      <wp:wrapNone/>
                      <wp:docPr id="445" name="Frame444"/>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31140" cy="175260"/>
                      <wp:effectExtent l="0" t="0" r="0" b="0"/>
                      <wp:wrapNone/>
                      <wp:docPr id="447" name="Frame44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741045" cy="175260"/>
                      <wp:effectExtent l="0" t="0" r="0" b="0"/>
                      <wp:wrapNone/>
                      <wp:docPr id="448" name="Frame447"/>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38785" cy="175260"/>
                      <wp:effectExtent l="0" t="0" r="0" b="0"/>
                      <wp:wrapNone/>
                      <wp:docPr id="451" name="Frame4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53085" cy="175260"/>
                      <wp:effectExtent l="0" t="0" r="0" b="0"/>
                      <wp:wrapNone/>
                      <wp:docPr id="453" name="Frame4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0660" cy="175260"/>
                      <wp:effectExtent l="0" t="0" r="0" b="0"/>
                      <wp:wrapNone/>
                      <wp:docPr id="454" name="Frame4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Interest Income</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863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9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300bp</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Static</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above indicates that as of June 30, 2026, in the event of an immediate and sustained 300 basis point increase in interest rates, our net interest income for the twelve months ending June 30, 2027 would be expected to decrease by $1.0 million, or 5.2% to $18.8 million.</w:t>
      </w:r>
    </w:p>
    <w:p>
      <w:pPr>
        <w:pStyle w:val="TextBody"/>
        <w:bidi w:val="0"/>
        <w:spacing w:before="0" w:after="240"/>
        <w:ind w:left="0" w:right="0" w:hanging="0"/>
        <w:jc w:val="left"/>
        <w:rPr>
          <w:rFonts w:ascii="Times New Roman;Times;serif" w:hAnsi="Times New Roman;Times;serif"/>
          <w:b/>
          <w:sz w:val="20"/>
        </w:rPr>
      </w:pPr>
      <w:bookmarkStart w:id="1951" w:name="Item3QuantitativeandQualitativeDisclosur"/>
      <w:bookmarkStart w:id="1952" w:name="_43ed2f8e_ec32_4ffe_9edb_90263e827d73"/>
      <w:bookmarkEnd w:id="1951"/>
      <w:bookmarkEnd w:id="1952"/>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53" w:name="Item4ControlsandProcedures_444664"/>
      <w:bookmarkStart w:id="1954" w:name="_bc0b5fe6_40aa_4232_a702_82f337524a31"/>
      <w:bookmarkEnd w:id="1953"/>
      <w:bookmarkEnd w:id="1954"/>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that are designed to provide assurance that the information required to be disclosed in the reports files or submitted under the Securities Exchange Act of 1934, as amended, is recorded, processed, summarized, and reported within the time periods specified in the rules and forms of the Securities and Exchange Commission (the “Commission”). An evaluation of the effectiveness of our disclosure controls and procedures at the end of the period covered by this report was carried out under the supervision and with the participation of the Company’s management, including our Chief Executive Officer and Chief Financial Officer. Based on such evaluation, the Chief Executive Officer and the Chief Financial Officer concluded that our disclosure controls and procedures were effective as of the end of such period.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1955" w:name="_f1e99688_00ed_4b57_8633_5f84715d7c88"/>
      <w:bookmarkEnd w:id="1955"/>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56" w:name="PARTIIOTHERINFORMATION_528217"/>
      <w:bookmarkEnd w:id="195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957" w:name="Item1LegalProceedings_749207"/>
      <w:bookmarkEnd w:id="1957"/>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presently involved in any legal proceedings of a material nature. From time to time, we are subject to various legal actions arising in the normal course of our business. In the opinion of management, the resolution of these legal actions is not expected to have a material adverse effect on our financial condition, results of operations or cash flows.</w:t>
      </w:r>
    </w:p>
    <w:p>
      <w:pPr>
        <w:pStyle w:val="TextBody"/>
        <w:bidi w:val="0"/>
        <w:spacing w:before="0" w:after="240"/>
        <w:ind w:left="0" w:right="0" w:hanging="0"/>
        <w:jc w:val="left"/>
        <w:rPr>
          <w:rFonts w:ascii="Times New Roman;Times;serif" w:hAnsi="Times New Roman;Times;serif"/>
          <w:b/>
          <w:sz w:val="20"/>
        </w:rPr>
      </w:pPr>
      <w:bookmarkStart w:id="1958" w:name="Item1ARiskFactors_752252"/>
      <w:bookmarkStart w:id="1959" w:name="_5a6d8523_775e_4284_b00b_19a1beac9987"/>
      <w:bookmarkEnd w:id="1958"/>
      <w:bookmarkEnd w:id="1959"/>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0" w:after="240"/>
        <w:ind w:left="0" w:right="0" w:hanging="0"/>
        <w:jc w:val="left"/>
        <w:rPr>
          <w:rFonts w:ascii="Times New Roman;Times;serif" w:hAnsi="Times New Roman;Times;serif"/>
          <w:b/>
          <w:sz w:val="20"/>
        </w:rPr>
      </w:pPr>
      <w:bookmarkStart w:id="1960" w:name="Item2UnregisteredSalesofEquitySecurities"/>
      <w:bookmarkStart w:id="1961" w:name="_8fdd340a_ffd9_426e_b460_ee88860283f5"/>
      <w:bookmarkEnd w:id="1960"/>
      <w:bookmarkEnd w:id="1961"/>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62" w:name="Item3DefaultsUponSeniorSecurities_553177"/>
      <w:bookmarkStart w:id="1963" w:name="_92a09bbc_9956_495a_9469_e3eacf650271"/>
      <w:bookmarkEnd w:id="1962"/>
      <w:bookmarkEnd w:id="1963"/>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64" w:name="Item4MineSafetyDisclosures_930077"/>
      <w:bookmarkStart w:id="1965" w:name="_6042ea6c_4c9f_4f5b_8e88_3be89ba3ffa1"/>
      <w:bookmarkEnd w:id="1964"/>
      <w:bookmarkEnd w:id="1965"/>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66" w:name="Item5OtherInformation_933411"/>
      <w:bookmarkStart w:id="1967" w:name="_ad8a71bb_9a62_4f33_9814_e0fc8b7b1362"/>
      <w:bookmarkEnd w:id="1966"/>
      <w:bookmarkEnd w:id="1967"/>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68" w:name="ITEM6EXHIBITS_639217"/>
      <w:bookmarkStart w:id="1969" w:name="_67124cff_b686_4cd9_96e4_ccc5aef481d3"/>
      <w:bookmarkEnd w:id="1968"/>
      <w:bookmarkEnd w:id="1969"/>
      <w:r>
        <w:rPr>
          <w:rFonts w:ascii="Times New Roman;Times;serif" w:hAnsi="Times New Roman;Times;serif"/>
          <w:b/>
          <w:caps/>
          <w:sz w:val="20"/>
        </w:rPr>
        <w:t>I</w:t>
      </w:r>
      <w:r>
        <w:rPr>
          <w:rFonts w:ascii="Times New Roman;Times;serif" w:hAnsi="Times New Roman;Times;serif"/>
          <w:b/>
          <w:sz w:val="20"/>
        </w:rPr>
        <w:t>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70" w:name="EXHIBITINDEX_234133"/>
      <w:bookmarkStart w:id="1971" w:name="_dd1474f6_0058_4d4a_bc40_d36e7a1a33a0"/>
      <w:bookmarkEnd w:id="1970"/>
      <w:bookmarkEnd w:id="1971"/>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0"/>
        <w:gridCol w:w="346"/>
        <w:gridCol w:w="8939"/>
      </w:tblGrid>
      <w:tr>
        <w:trPr/>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84200" cy="175260"/>
                      <wp:effectExtent l="0" t="0" r="0" b="0"/>
                      <wp:wrapNone/>
                      <wp:docPr id="455" name="Frame454"/>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676265" cy="175260"/>
                      <wp:effectExtent l="0" t="0" r="0" b="0"/>
                      <wp:wrapNone/>
                      <wp:docPr id="456" name="Frame455"/>
                      <a:graphic xmlns:a="http://schemas.openxmlformats.org/drawingml/2006/main">
                        <a:graphicData uri="http://schemas.microsoft.com/office/word/2010/wordprocessingShape">
                          <wps:wsp>
                            <wps:cNvSpPr txBox="1"/>
                            <wps:spPr>
                              <a:xfrm>
                                <a:off x="0" y="0"/>
                                <a:ext cx="567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346" w:type="dxa"/>
            <w:tcBorders/>
            <w:vAlign w:val="center"/>
          </w:tcPr>
          <w:p>
            <w:pPr>
              <w:pStyle w:val="TableContents"/>
              <w:bidi w:val="0"/>
              <w:spacing w:before="0" w:after="0"/>
              <w:ind w:left="0" w:right="0" w:hanging="0"/>
              <w:jc w:val="left"/>
              <w:rPr/>
            </w:pPr>
            <w:r>
              <w:rPr/>
              <w:t>  ​ ​ ​</w:t>
            </w:r>
          </w:p>
        </w:tc>
        <w:tc>
          <w:tcPr>
            <w:tcW w:w="89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92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Hoyne Bancorp, Inc. (incorporated by reference to Exhibit 3.1 to the Company’s Registration Statement on Form S-1, as amended (Commission File No. 333-288102</w:t>
              </w:r>
            </w:hyperlink>
            <w:r>
              <w:rPr>
                <w:rFonts w:ascii="Times New Roman;Times;serif" w:hAnsi="Times New Roman;Times;serif"/>
                <w:sz w:val="20"/>
              </w:rPr>
              <w: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Hoyne Bancorp, Inc. (incorporated by reference to Exhibit 3.2 to the Company’s Registration Statement on Form S-1, as amended (Commission File No. 333-288102</w:t>
              </w:r>
            </w:hyperlink>
            <w:r>
              <w:rPr>
                <w:rFonts w:ascii="Times New Roman;Times;serif" w:hAnsi="Times New Roman;Times;serif"/>
                <w:sz w:val="20"/>
              </w:rPr>
              <w: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pPr>
            <w:hyperlink w:anchor="hyne-20260630xex31d1.htm">
              <w:r>
                <w:rPr>
                  <w:rStyle w:val="InternetLink"/>
                  <w:rFonts w:ascii="Times New Roman;Times;serif" w:hAnsi="Times New Roman;Times;serif"/>
                  <w:b w:val="false"/>
                  <w:i w:val="false"/>
                  <w:caps w:val="false"/>
                  <w:smallCaps w:val="false"/>
                  <w:sz w:val="20"/>
                </w:rPr>
                <w:t>Certification of the Chief Executive Officer pursuant to Rules 13a-14(a) and 15d-14(a) of the Securities Exchange Act of 1934, as amended, and Section 302 of the Sarbanes-Oxley Act of 2002</w:t>
              </w:r>
            </w:hyperlink>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pPr>
            <w:hyperlink w:anchor="hyne-20260630xex31d2.htm">
              <w:r>
                <w:rPr>
                  <w:rStyle w:val="InternetLink"/>
                  <w:rFonts w:ascii="Times New Roman;Times;serif" w:hAnsi="Times New Roman;Times;serif"/>
                  <w:b w:val="false"/>
                  <w:i w:val="false"/>
                  <w:caps w:val="false"/>
                  <w:smallCaps w:val="false"/>
                  <w:sz w:val="20"/>
                </w:rPr>
                <w:t>Certification of the Chief Financial Officer pursuant to Rules 13a-14(a) and 15d-14(a) of the Securities Exchange Act of 1934, as amended, and Section 302 of the Sarbanes-Oxley Act of 2002</w:t>
              </w:r>
            </w:hyperlink>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pPr>
            <w:hyperlink w:anchor="hyne-2026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exhibit shall not be deemed “filed” by the Registrant for the purposes of Section 18 of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972" w:name="SIGNATURES_336995"/>
      <w:bookmarkStart w:id="1973" w:name="_a405cb76_7021_43bc_b4a0_bc13bbe1baba"/>
      <w:bookmarkEnd w:id="1972"/>
      <w:bookmarkEnd w:id="1973"/>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tbl>
      <w:tblPr>
        <w:tblW w:w="6903" w:type="dxa"/>
        <w:jc w:val="left"/>
        <w:tblInd w:w="0" w:type="dxa"/>
        <w:tblLayout w:type="fixed"/>
        <w:tblCellMar>
          <w:top w:w="0" w:type="dxa"/>
          <w:left w:w="0" w:type="dxa"/>
          <w:bottom w:w="0" w:type="dxa"/>
          <w:right w:w="0" w:type="dxa"/>
        </w:tblCellMar>
      </w:tblPr>
      <w:tblGrid>
        <w:gridCol w:w="1951"/>
        <w:gridCol w:w="406"/>
        <w:gridCol w:w="454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238885" cy="175260"/>
                      <wp:effectExtent l="0" t="0" r="0" b="0"/>
                      <wp:wrapNone/>
                      <wp:docPr id="457" name="Frame45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57810" cy="175260"/>
                      <wp:effectExtent l="0" t="0" r="0" b="0"/>
                      <wp:wrapNone/>
                      <wp:docPr id="458" name="Frame4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886710" cy="175260"/>
                      <wp:effectExtent l="0" t="0" r="0" b="0"/>
                      <wp:wrapNone/>
                      <wp:docPr id="459" name="Frame458"/>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95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HOYNE BANCORP, INC.</w:t>
            </w:r>
          </w:p>
        </w:tc>
      </w:tr>
      <w:tr>
        <w:trPr/>
        <w:tc>
          <w:tcPr>
            <w:tcW w:w="1951"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S. Manfre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Principal Accounting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right"/>
        <w:rPr>
          <w:rFonts w:ascii="Times New Roman;Times;serif" w:hAnsi="Times New Roman;Times;serif"/>
          <w:b/>
          <w:sz w:val="20"/>
        </w:rPr>
      </w:pPr>
      <w:bookmarkStart w:id="1974" w:name="hyne-20260630xex31d1.htm"/>
      <w:bookmarkStart w:id="1975" w:name="kshyne20260630xex31d1"/>
      <w:bookmarkEnd w:id="1974"/>
      <w:bookmarkEnd w:id="1975"/>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Walter F. Healy, certify that:</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6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 xml:space="preserve">The Registrant’s other certifying officer and I are responsible for establishing and maintaining disclosure controls and procedures (as defined in Exchange Act Rules 13a-15(e) and 15d-15(e)) </w:t>
            </w:r>
            <w:bookmarkStart w:id="1976" w:name="_Hlk225151552"/>
            <w:bookmarkEnd w:id="1976"/>
            <w:r>
              <w:rPr>
                <w:rFonts w:ascii="Times New Roman;Times;serif" w:hAnsi="Times New Roman;Times;serif"/>
                <w:sz w:val="20"/>
              </w:rPr>
              <w:t>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bookmarkStart w:id="1977" w:name="_Hlk225151580"/>
            <w:bookmarkEnd w:id="1977"/>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938" w:type="dxa"/>
        <w:jc w:val="left"/>
        <w:tblInd w:w="0" w:type="dxa"/>
        <w:tblLayout w:type="fixed"/>
        <w:tblCellMar>
          <w:top w:w="0" w:type="dxa"/>
          <w:left w:w="0" w:type="dxa"/>
          <w:bottom w:w="0" w:type="dxa"/>
          <w:right w:w="0" w:type="dxa"/>
        </w:tblCellMar>
      </w:tblPr>
      <w:tblGrid>
        <w:gridCol w:w="2056"/>
        <w:gridCol w:w="406"/>
        <w:gridCol w:w="247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05560" cy="175260"/>
                      <wp:effectExtent l="0" t="0" r="0" b="0"/>
                      <wp:wrapNone/>
                      <wp:docPr id="460" name="Frame45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572260" cy="175260"/>
                      <wp:effectExtent l="0" t="0" r="0" b="0"/>
                      <wp:wrapNone/>
                      <wp:docPr id="461" name="Frame46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/s/Walter F. Healy</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78" w:name="hyne-20260630xex31d2.htm"/>
      <w:bookmarkStart w:id="1979" w:name="kshyne20260630xex31d2"/>
      <w:bookmarkEnd w:id="1978"/>
      <w:bookmarkEnd w:id="1979"/>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Thomas S. Manfre, certify that:</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6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8"/>
        <w:gridCol w:w="9994"/>
      </w:tblGrid>
      <w:tr>
        <w:trPr/>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200"/>
        <w:ind w:left="360" w:right="0" w:hanging="360"/>
        <w:jc w:val="left"/>
        <w:rPr/>
      </w:pPr>
      <w:r>
        <w:rPr/>
        <w:t>​</w:t>
      </w:r>
    </w:p>
    <w:tbl>
      <w:tblPr>
        <w:tblW w:w="4878" w:type="dxa"/>
        <w:jc w:val="left"/>
        <w:tblInd w:w="0" w:type="dxa"/>
        <w:tblLayout w:type="fixed"/>
        <w:tblCellMar>
          <w:top w:w="0" w:type="dxa"/>
          <w:left w:w="0" w:type="dxa"/>
          <w:bottom w:w="0" w:type="dxa"/>
          <w:right w:w="0" w:type="dxa"/>
        </w:tblCellMar>
      </w:tblPr>
      <w:tblGrid>
        <w:gridCol w:w="2056"/>
        <w:gridCol w:w="406"/>
        <w:gridCol w:w="241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05560" cy="175260"/>
                      <wp:effectExtent l="0" t="0" r="0" b="0"/>
                      <wp:wrapNone/>
                      <wp:docPr id="462" name="Frame461"/>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34160" cy="175260"/>
                      <wp:effectExtent l="0" t="0" r="0" b="0"/>
                      <wp:wrapNone/>
                      <wp:docPr id="463" name="Frame462"/>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S. Manfre</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80" w:name="hyne-20260630xex32d1.htm"/>
      <w:bookmarkStart w:id="1981" w:name="kshyne20260630xex32d1"/>
      <w:bookmarkEnd w:id="1980"/>
      <w:bookmarkEnd w:id="1981"/>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 Principal Executive Officer of Hoyne Bancorp, Inc. (the “Company”), and Thomas S. Manfre, Principal Financial Officer of the Company, each hereby certifies in his capacity as an officer of the Company that he has reviewed the Company’s Quarterly Report on Form 10-Q for the quarter ended June 30, 2026 as filed with the Securities and Exchange Commission on the date hereof (the “Report”), and that to the best of his knowledge:</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6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Sections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938" w:type="dxa"/>
        <w:jc w:val="left"/>
        <w:tblInd w:w="0" w:type="dxa"/>
        <w:tblLayout w:type="fixed"/>
        <w:tblCellMar>
          <w:top w:w="0" w:type="dxa"/>
          <w:left w:w="0" w:type="dxa"/>
          <w:bottom w:w="0" w:type="dxa"/>
          <w:right w:w="0" w:type="dxa"/>
        </w:tblCellMar>
      </w:tblPr>
      <w:tblGrid>
        <w:gridCol w:w="2056"/>
        <w:gridCol w:w="406"/>
        <w:gridCol w:w="247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05560" cy="175260"/>
                      <wp:effectExtent l="0" t="0" r="0" b="0"/>
                      <wp:wrapNone/>
                      <wp:docPr id="464" name="Frame46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72260" cy="175260"/>
                      <wp:effectExtent l="0" t="0" r="0" b="0"/>
                      <wp:wrapNone/>
                      <wp:docPr id="465" name="Frame46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/s/Thomas S. Manfre</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73153/000110465925060154/tm2517031d3_ex3-1.htm" TargetMode="External"/><Relationship Id="rId4" Type="http://schemas.openxmlformats.org/officeDocument/2006/relationships/hyperlink" Target="https://www.sec.gov/Archives/edgar/data/2073153/000110465925060154/tm2517031d3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15819</Words>
  <Characters>85725</Characters>
  <CharactersWithSpaces>105936</CharactersWithSpaces>
  <Paragraphs>9589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