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563d1_8k.htm"/>
      <w:bookmarkStart w:id="1" w:name="kstm261856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62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June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bookmarkStart w:id="4" w:name="xdx_90F_edei--EntityRegistrantName_c2026"/>
      <w:bookmarkEnd w:id="4"/>
      <w:r>
        <w:rPr>
          <w:rFonts w:ascii="Times New Roman;Times;Serif" w:hAnsi="Times New Roman;Times;Serif"/>
          <w:b/>
          <w:i w:val="false"/>
          <w:caps/>
          <w:sz w:val="28"/>
        </w:rPr>
        <w:t>Hoyne Bancorp,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xdx_90F_edei--EntityIncorporationStateCo"/>
      <w:bookmarkEnd w:id="5"/>
      <w:r>
        <w:rPr>
          <w:rFonts w:ascii="Times New Roman;Times;Serif" w:hAnsi="Times New Roman;Times;Serif"/>
          <w:b/>
          <w:i w:val="false"/>
          <w:caps/>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275"/>
        <w:gridCol w:w="2915"/>
      </w:tblGrid>
      <w:tr>
        <w:trPr/>
        <w:tc>
          <w:tcPr>
            <w:tcW w:w="3275" w:type="dxa"/>
            <w:tcBorders/>
            <w:vAlign w:val="center"/>
          </w:tcPr>
          <w:p>
            <w:pPr>
              <w:pStyle w:val="TableContents"/>
              <w:bidi w:val="0"/>
              <w:spacing w:before="0" w:after="283"/>
              <w:jc w:val="center"/>
              <w:rPr/>
            </w:pPr>
            <w:bookmarkStart w:id="6" w:name="xdx_900_edei--EntityFileNumber_c20260622"/>
            <w:bookmarkEnd w:id="6"/>
            <w:r>
              <w:rPr>
                <w:rFonts w:ascii="Times New Roman;Times;Serif" w:hAnsi="Times New Roman;Times;Serif"/>
                <w:b/>
                <w:sz w:val="20"/>
              </w:rPr>
              <w:t>001-42990</w:t>
              <w:br/>
            </w:r>
            <w:r>
              <w:rPr>
                <w:sz w:val="20"/>
              </w:rPr>
              <w:t>(Commission File Number)</w:t>
            </w:r>
          </w:p>
        </w:tc>
        <w:tc>
          <w:tcPr>
            <w:tcW w:w="2915" w:type="dxa"/>
            <w:tcBorders/>
            <w:vAlign w:val="center"/>
          </w:tcPr>
          <w:p>
            <w:pPr>
              <w:pStyle w:val="TableContents"/>
              <w:bidi w:val="0"/>
              <w:spacing w:before="0" w:after="283"/>
              <w:jc w:val="center"/>
              <w:rPr/>
            </w:pPr>
            <w:bookmarkStart w:id="7" w:name="xdx_905_edei--EntityTaxIdentificationNum"/>
            <w:bookmarkEnd w:id="7"/>
            <w:r>
              <w:rPr>
                <w:rFonts w:ascii="Times New Roman;Times;Serif" w:hAnsi="Times New Roman;Times;Serif"/>
                <w:b/>
                <w:sz w:val="20"/>
              </w:rPr>
              <w:t>39-2556785</w:t>
              <w:br/>
            </w:r>
            <w:r>
              <w:rPr>
                <w:sz w:val="20"/>
              </w:rPr>
              <w:t>(I.R.S. Employer Identification No.)</w:t>
            </w:r>
          </w:p>
        </w:tc>
      </w:tr>
      <w:tr>
        <w:trPr/>
        <w:tc>
          <w:tcPr>
            <w:tcW w:w="3275"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bookmarkStart w:id="8" w:name="xdx_900_edei--EntityAddressAddressLine1_"/>
            <w:bookmarkEnd w:id="8"/>
            <w:r>
              <w:rPr>
                <w:rFonts w:ascii="Times New Roman;Times;Serif" w:hAnsi="Times New Roman;Times;Serif"/>
                <w:b/>
                <w:sz w:val="20"/>
              </w:rPr>
              <w:t>810 S. Oak Park Avenue</w:t>
              <w:br/>
            </w:r>
            <w:bookmarkStart w:id="9" w:name="xdx_905_edei--EntityAddressCityOrTown_c2"/>
            <w:bookmarkEnd w:id="9"/>
            <w:r>
              <w:rPr>
                <w:rFonts w:ascii="Times New Roman;Times;Serif" w:hAnsi="Times New Roman;Times;Serif"/>
                <w:b/>
                <w:sz w:val="20"/>
              </w:rPr>
              <w:t xml:space="preserve">Oak Park, </w:t>
            </w:r>
            <w:bookmarkStart w:id="10" w:name="xdx_90C_edei--EntityAddressStateOrProvin"/>
            <w:bookmarkEnd w:id="10"/>
            <w:r>
              <w:rPr>
                <w:rFonts w:ascii="Times New Roman;Times;Serif" w:hAnsi="Times New Roman;Times;Serif"/>
                <w:b/>
                <w:sz w:val="20"/>
              </w:rPr>
              <w:t>Illinois</w:t>
              <w:br/>
            </w:r>
            <w:r>
              <w:rPr>
                <w:sz w:val="20"/>
              </w:rPr>
              <w:t>(Address of Principal Executive Offices)</w:t>
            </w:r>
          </w:p>
        </w:tc>
        <w:tc>
          <w:tcPr>
            <w:tcW w:w="2915" w:type="dxa"/>
            <w:tcBorders/>
            <w:vAlign w:val="center"/>
          </w:tcPr>
          <w:p>
            <w:pPr>
              <w:pStyle w:val="TableContents"/>
              <w:bidi w:val="0"/>
              <w:spacing w:before="0" w:after="283"/>
              <w:jc w:val="center"/>
              <w:rPr/>
            </w:pPr>
            <w:bookmarkStart w:id="11" w:name="xdx_908_edei--EntityAddressPostalZipCode"/>
            <w:bookmarkEnd w:id="11"/>
            <w:r>
              <w:rPr>
                <w:rFonts w:ascii="Times New Roman;Times;Serif" w:hAnsi="Times New Roman;Times;Serif"/>
                <w:b/>
                <w:sz w:val="20"/>
              </w:rPr>
              <w:t>60304</w:t>
              <w:br/>
            </w: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622__20"/>
      <w:bookmarkEnd w:id="12"/>
      <w:r>
        <w:rPr>
          <w:rFonts w:ascii="Times New Roman;Times;Serif" w:hAnsi="Times New Roman;Times;Serif"/>
          <w:b/>
          <w:i w:val="false"/>
          <w:caps w:val="false"/>
          <w:smallCaps w:val="false"/>
          <w:sz w:val="20"/>
        </w:rPr>
        <w:t xml:space="preserve">708) </w:t>
      </w:r>
      <w:bookmarkStart w:id="13" w:name="xdx_90D_edei--LocalPhoneNumber_c20260622"/>
      <w:bookmarkEnd w:id="13"/>
      <w:r>
        <w:rPr>
          <w:rFonts w:ascii="Times New Roman;Times;Serif" w:hAnsi="Times New Roman;Times;Serif"/>
          <w:b/>
          <w:i w:val="false"/>
          <w:caps w:val="false"/>
          <w:smallCaps w:val="false"/>
          <w:sz w:val="20"/>
        </w:rPr>
        <w:t>434-4300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SolicitingMaterial_c202606"/>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10"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0622"/>
            <w:bookmarkEnd w:id="18"/>
            <w:r>
              <w:rPr>
                <w:rFonts w:ascii="Times New Roman;Times;Serif" w:hAnsi="Times New Roman;Times;Serif"/>
                <w:sz w:val="20"/>
              </w:rPr>
              <w:t>Common Stock, par value $0.01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19" w:name="xdx_907_edei--TradingSymbol_c20260622__2"/>
            <w:bookmarkEnd w:id="19"/>
            <w:r>
              <w:rPr/>
              <w:t>HYNE</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E_edei--SecurityExchangeName_c2026"/>
            <w:bookmarkEnd w:id="20"/>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98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4.01.</w:t>
            </w:r>
          </w:p>
        </w:tc>
        <w:tc>
          <w:tcPr>
            <w:tcW w:w="4490" w:type="dxa"/>
            <w:tcBorders/>
            <w:vAlign w:val="center"/>
          </w:tcPr>
          <w:p>
            <w:pPr>
              <w:pStyle w:val="TableContents"/>
              <w:bidi w:val="0"/>
              <w:spacing w:before="0" w:after="283"/>
              <w:jc w:val="both"/>
              <w:rPr/>
            </w:pPr>
            <w:r>
              <w:rPr/>
              <w:t>Changes in Registrant's Certifying Accountant.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Dismissal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Audit Committee (the “Audit Committee”) of the Board of Directors of Hoyne Bancorp, Inc. (the “Company”) dismissed Wipfli LLP (“Wipfli”) as the Company’s independent registered public accounting firm, effective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Wipfli performed audits of the financial statements of the Company for the year ended December 31, 2025, and of the financial statements of Hoyne Savings, MHC and Subsidiaries (including Hoyne Savings Bank (the “Bank”)) (the “MHC”) for the years ended December 31, 2024 and 2023. The MHC completed its conversion from the mutual holding company to the stock holding company corporate structure (the “Conversion”) on December 3, 2025. Upon the completion of the Conversion, Hoyne Savings, MHC ceased to exist, and the Bank became a wholly owned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reports of Wipfli on the Company’s and the MHC’s consolidated financial statements for the years ended December 31, 2025 and December 31, 2024 did not contain an adverse opinion or a disclaimer of opinion, and were not qualified or modified as to uncertainty, audit scope, or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2025, and the subsequent interim period through June 22, 2026, there were no: (i) disagreements (as defined in Item 304(a)(1)(iv) of Regulation S-K and the related instructions to Item 304 of Regulation S-K) between the Company (including the MHC) and Wipfli on any matter of accounting principles or practices, financial statement disclosure, or auditing scope or procedure, which disagreements, if not resolved to the satisfaction of Wipfli, would have caused Wipfli to make reference to the subject matter of the disagreements in connection with its reports on the MHC’s consolidated financial statements for the years ended December 31, 2024 and 2023, or the Company’s consolidated financial statements for the year ended December 31, 2025, or (ii) “reportable events,” as defined in Item 304(a)(1)(v) of Regulation S-K, except with respect to clause (ii) above, for the disclosure of a material weakness in the Company’s internal control over financial reporting as disclosed in Part II, Item 9A of the Company’s Annual Report on Form 10-K for the year ended December 31, 2025. Management determined that this material weakness was remediated as of March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Wipfli with a copy of the above disclosures and requested that Wipfli furnish the Company with a letter addressed to the Securities and Exchange Commission (the “SEC”) stating whether or not it agrees with the statements made above. A copy of Wipfli’s letter to the SEC, dated June 24, 2026, is filed as Exhibit 16.1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Appointment of New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Audit Committee approved the engagement of Plante &amp; Moran, PLLC (“Plante Moran”) as the Company’s new independent registered public accounting firm for the fiscal year ending December 31, 2026, effective immediately, subject to satisfactory completion of Plante Moran’s customary client acceptance procedures and execution of an engagement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years ended December 31, 2025, and the subsequent interim period through June 22, 2026, neither the Company nor anyone on its behalf has consulted with Plante Moran regarding (i) the application of accounting principles to any specified transaction, either completed or proposed, or the type of audit opinion that might be rendered on the Company’s or the MHC’s financial statements, and Plante Moran neither provided a written report nor oral advice to the Company or the MHC that Plante Moran concluded was an important factor considered by the Company or the MHC in reaching a decision as to any accounting, auditing, or financial reporting issue, or (ii) any matter that was either the subject of a “disagreement,” as defined in Item 304(a)(1)(iv) of Regulation S-K, or a “reportable event,” as defined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28" w:type="dxa"/>
          <w:right w:w="0" w:type="dxa"/>
        </w:tblCellMar>
      </w:tblPr>
      <w:tblGrid>
        <w:gridCol w:w="1265"/>
        <w:gridCol w:w="60"/>
        <w:gridCol w:w="6485"/>
      </w:tblGrid>
      <w:tr>
        <w:trPr/>
        <w:tc>
          <w:tcPr>
            <w:tcW w:w="1265" w:type="dxa"/>
            <w:tcBorders>
              <w:bottom w:val="single" w:sz="8" w:space="0" w:color="000000"/>
            </w:tcBorders>
            <w:vAlign w:val="center"/>
          </w:tcPr>
          <w:p>
            <w:pPr>
              <w:pStyle w:val="TableContents"/>
              <w:bidi w:val="0"/>
              <w:spacing w:before="0" w:after="283"/>
              <w:jc w:val="left"/>
              <w:rPr/>
            </w:pPr>
            <w:r>
              <w:rPr>
                <w:b/>
              </w:rPr>
              <w:t>Exhibit No.</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pPr>
            <w:r>
              <w:rPr>
                <w:b/>
              </w:rPr>
              <w:t>Description</w:t>
            </w:r>
            <w:r>
              <w:rPr/>
              <w:t xml:space="preserve">  </w:t>
            </w:r>
          </w:p>
        </w:tc>
      </w:tr>
      <w:tr>
        <w:trPr/>
        <w:tc>
          <w:tcPr>
            <w:tcW w:w="1265" w:type="dxa"/>
            <w:tcBorders/>
            <w:tcMar>
              <w:bottom w:w="0" w:type="dxa"/>
            </w:tcMar>
            <w:vAlign w:val="center"/>
          </w:tcPr>
          <w:p>
            <w:pPr>
              <w:pStyle w:val="TableContents"/>
              <w:bidi w:val="0"/>
              <w:spacing w:before="0" w:after="283"/>
              <w:jc w:val="both"/>
              <w:rPr/>
            </w:pPr>
            <w:hyperlink w:anchor="tm2618563d1_ex16-1.htm">
              <w:r>
                <w:rPr>
                  <w:rStyle w:val="InternetLink"/>
                  <w:sz w:val="20"/>
                </w:rPr>
                <w:t>16.1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pPr>
            <w:hyperlink w:anchor="tm2618563d1_ex16-1.htm">
              <w:r>
                <w:rPr>
                  <w:rStyle w:val="InternetLink"/>
                  <w:sz w:val="20"/>
                </w:rPr>
                <w:t>Letter from Wipfli LLP to the SEC dated June 24, 2026</w:t>
              </w:r>
            </w:hyperlink>
          </w:p>
        </w:tc>
      </w:tr>
      <w:tr>
        <w:trPr/>
        <w:tc>
          <w:tcPr>
            <w:tcW w:w="12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670"/>
        <w:gridCol w:w="575"/>
        <w:gridCol w:w="3095"/>
      </w:tblGrid>
      <w:tr>
        <w:trPr/>
        <w:tc>
          <w:tcPr>
            <w:tcW w:w="1670" w:type="dxa"/>
            <w:tcBorders/>
            <w:vAlign w:val="center"/>
          </w:tcPr>
          <w:p>
            <w:pPr>
              <w:pStyle w:val="TableContents"/>
              <w:bidi w:val="0"/>
              <w:spacing w:before="0" w:after="283"/>
              <w:jc w:val="left"/>
              <w:rPr/>
            </w:pPr>
            <w:r>
              <w:rPr/>
              <w:t> </w:t>
            </w:r>
          </w:p>
        </w:tc>
        <w:tc>
          <w:tcPr>
            <w:tcW w:w="3670" w:type="dxa"/>
            <w:gridSpan w:val="2"/>
            <w:tcBorders/>
            <w:vAlign w:val="center"/>
          </w:tcPr>
          <w:p>
            <w:pPr>
              <w:pStyle w:val="TableContents"/>
              <w:bidi w:val="0"/>
              <w:spacing w:before="0" w:after="283"/>
              <w:jc w:val="both"/>
              <w:rPr>
                <w:b/>
                <w:sz w:val="20"/>
              </w:rPr>
            </w:pPr>
            <w:r>
              <w:rPr>
                <w:b/>
                <w:sz w:val="20"/>
              </w:rPr>
              <w:t>Hoyne Bancorp, Inc.</w:t>
            </w:r>
          </w:p>
        </w:tc>
      </w:tr>
      <w:tr>
        <w:trPr/>
        <w:tc>
          <w:tcPr>
            <w:tcW w:w="167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both"/>
              <w:rPr>
                <w:sz w:val="20"/>
              </w:rPr>
            </w:pPr>
            <w:r>
              <w:rPr>
                <w:b/>
                <w:sz w:val="20"/>
              </w:rPr>
              <w:t>Date:</w:t>
            </w:r>
            <w:r>
              <w:rPr>
                <w:sz w:val="20"/>
              </w:rPr>
              <w:t xml:space="preserve"> June 24, 2026</w:t>
            </w:r>
          </w:p>
        </w:tc>
        <w:tc>
          <w:tcPr>
            <w:tcW w:w="575" w:type="dxa"/>
            <w:tcBorders/>
            <w:vAlign w:val="center"/>
          </w:tcPr>
          <w:p>
            <w:pPr>
              <w:pStyle w:val="TableContents"/>
              <w:bidi w:val="0"/>
              <w:spacing w:before="0" w:after="283"/>
              <w:jc w:val="both"/>
              <w:rPr>
                <w:b/>
                <w:sz w:val="20"/>
              </w:rPr>
            </w:pPr>
            <w:r>
              <w:rPr>
                <w:b/>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Walter F. Healy</w:t>
            </w:r>
          </w:p>
        </w:tc>
      </w:tr>
      <w:tr>
        <w:trPr/>
        <w:tc>
          <w:tcPr>
            <w:tcW w:w="167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both"/>
              <w:rPr>
                <w:b/>
                <w:sz w:val="20"/>
              </w:rPr>
            </w:pPr>
            <w:r>
              <w:rPr>
                <w:b/>
                <w:sz w:val="20"/>
              </w:rPr>
              <w:t>Name:</w:t>
            </w:r>
          </w:p>
        </w:tc>
        <w:tc>
          <w:tcPr>
            <w:tcW w:w="3095" w:type="dxa"/>
            <w:tcBorders/>
            <w:vAlign w:val="center"/>
          </w:tcPr>
          <w:p>
            <w:pPr>
              <w:pStyle w:val="TableContents"/>
              <w:bidi w:val="0"/>
              <w:spacing w:before="0" w:after="283"/>
              <w:jc w:val="both"/>
              <w:rPr>
                <w:sz w:val="20"/>
              </w:rPr>
            </w:pPr>
            <w:r>
              <w:rPr>
                <w:sz w:val="20"/>
              </w:rPr>
              <w:t>Walter F. Healy</w:t>
            </w:r>
          </w:p>
        </w:tc>
      </w:tr>
      <w:tr>
        <w:trPr/>
        <w:tc>
          <w:tcPr>
            <w:tcW w:w="167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both"/>
              <w:rPr>
                <w:b/>
                <w:sz w:val="20"/>
              </w:rPr>
            </w:pPr>
            <w:r>
              <w:rPr>
                <w:b/>
                <w:sz w:val="20"/>
              </w:rPr>
              <w:t>Title:</w:t>
            </w:r>
          </w:p>
        </w:tc>
        <w:tc>
          <w:tcPr>
            <w:tcW w:w="3095" w:type="dxa"/>
            <w:tcBorders/>
            <w:vAlign w:val="center"/>
          </w:tcPr>
          <w:p>
            <w:pPr>
              <w:pStyle w:val="TableContents"/>
              <w:bidi w:val="0"/>
              <w:spacing w:before="0" w:after="283"/>
              <w:jc w:val="both"/>
              <w:rPr>
                <w:sz w:val="20"/>
              </w:rPr>
            </w:pPr>
            <w:r>
              <w:rPr>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18563d1_ex16-1.htm"/>
      <w:bookmarkStart w:id="24" w:name="kstm2618563d1_ex161"/>
      <w:bookmarkEnd w:id="23"/>
      <w:bookmarkEnd w:id="24"/>
      <w:r>
        <w:rPr>
          <w:rFonts w:ascii="Times New Roman;Times;Serif" w:hAnsi="Times New Roman;Times;Serif"/>
          <w:b/>
          <w:i w:val="false"/>
          <w:caps w:val="false"/>
          <w:smallCaps w:val="false"/>
          <w:sz w:val="20"/>
        </w:rPr>
        <w:t>Exhibit 16.1</w:t>
      </w:r>
      <w:r>
        <w:br w:type="page"/>
      </w:r>
    </w:p>
    <w:p>
      <w:pPr>
        <w:pStyle w:val="TextBody"/>
        <w:bidi w:val="0"/>
        <w:spacing w:before="0" w:after="0"/>
        <w:ind w:left="0" w:right="0" w:hanging="0"/>
        <w:jc w:val="center"/>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430"/>
        <w:gridCol w:w="2120"/>
        <w:gridCol w:w="1175"/>
      </w:tblGrid>
      <w:tr>
        <w:trPr/>
        <w:tc>
          <w:tcPr>
            <w:tcW w:w="2430"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4954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581025"/>
                          </a:xfrm>
                          <a:prstGeom prst="rect">
                            <a:avLst/>
                          </a:prstGeom>
                        </pic:spPr>
                      </pic:pic>
                    </a:graphicData>
                  </a:graphic>
                </wp:inline>
              </w:drawing>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7000 Central Parkway NE</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404.420.5691</w:t>
            </w:r>
          </w:p>
        </w:tc>
      </w:tr>
      <w:tr>
        <w:trPr/>
        <w:tc>
          <w:tcPr>
            <w:tcW w:w="2430" w:type="dxa"/>
            <w:vMerge w:val="continue"/>
            <w:tcBorders/>
            <w:vAlign w:val="center"/>
          </w:tcPr>
          <w:p>
            <w:pPr>
              <w:pStyle w:val="Normal"/>
              <w:bidi w:val="0"/>
              <w:jc w:val="left"/>
              <w:rPr/>
            </w:pPr>
            <w:r>
              <w:rPr/>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1000</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wipfli.com</w:t>
            </w:r>
          </w:p>
        </w:tc>
      </w:tr>
      <w:tr>
        <w:trPr/>
        <w:tc>
          <w:tcPr>
            <w:tcW w:w="2430" w:type="dxa"/>
            <w:vMerge w:val="continue"/>
            <w:tcBorders/>
            <w:vAlign w:val="center"/>
          </w:tcPr>
          <w:p>
            <w:pPr>
              <w:pStyle w:val="Normal"/>
              <w:bidi w:val="0"/>
              <w:jc w:val="left"/>
              <w:rPr/>
            </w:pPr>
            <w:r>
              <w:rPr/>
            </w:r>
          </w:p>
        </w:tc>
        <w:tc>
          <w:tcPr>
            <w:tcW w:w="212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Atlanta, GA 30328</w:t>
            </w:r>
          </w:p>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of Hoyne Bancorp, Inc. included under Item 4.01 of its Form 8-K filed on June 24, 2026 and we agree with such statements concerning our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Wipfli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1107</Words>
  <Characters>5939</Characters>
  <CharactersWithSpaces>7037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